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</w:t>
      </w:r>
      <w:r w:rsidR="009F01E3">
        <w:t>лабораторные</w:t>
      </w:r>
      <w:r w:rsidRPr="007C7C7C"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F01E3">
        <w:t>зачёт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F01E3">
        <w:t>зачёта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>
              <w:t>спечения информационных систем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5431C5" w:rsidRDefault="005431C5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E653A5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E653A5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371F9A" w:rsidP="00F622A0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3A4D55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E653A5" w:rsidRDefault="00E653A5" w:rsidP="00F622A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1"/>
        <w:gridCol w:w="417"/>
        <w:gridCol w:w="414"/>
        <w:gridCol w:w="382"/>
        <w:gridCol w:w="43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99"/>
        <w:gridCol w:w="331"/>
        <w:gridCol w:w="542"/>
        <w:gridCol w:w="406"/>
        <w:gridCol w:w="413"/>
        <w:gridCol w:w="400"/>
        <w:gridCol w:w="434"/>
        <w:gridCol w:w="413"/>
        <w:gridCol w:w="36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F7F48">
              <w:rPr>
                <w:sz w:val="16"/>
                <w:szCs w:val="16"/>
              </w:rPr>
              <w:t>15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E7549A">
        <w:trPr>
          <w:trHeight w:val="495"/>
          <w:jc w:val="center"/>
        </w:trPr>
        <w:tc>
          <w:tcPr>
            <w:tcW w:w="114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E7549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E7549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51CAD" w:rsidRPr="00894889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P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8F6895" w:rsidRDefault="00251CA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8F689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251CAD" w:rsidRDefault="00251CAD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544A2E" w:rsidRDefault="00251CAD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</w:tr>
      <w:tr w:rsidR="00E7549A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9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B7359B" w:rsidP="00B7359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  <w:bookmarkStart w:id="8" w:name="_GoBack"/>
            <w:bookmarkEnd w:id="8"/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Default="00E7549A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544A2E" w:rsidRDefault="00E7549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3C3315" w:rsidRDefault="00E7549A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B17CCE" w:rsidRDefault="00E7549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B17CCE">
              <w:rPr>
                <w:sz w:val="16"/>
                <w:szCs w:val="16"/>
                <w:lang w:val="en-US"/>
              </w:rPr>
              <w:t>27</w:t>
            </w:r>
          </w:p>
        </w:tc>
      </w:tr>
      <w:tr w:rsidR="00251CAD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B7359B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5C617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5C6174">
            <w:pPr>
              <w:snapToGrid w:val="0"/>
              <w:jc w:val="center"/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5C6174"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C6174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8341555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7359B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7245F3" w:rsidRDefault="00A559B6" w:rsidP="005D7BB6">
      <w:pPr>
        <w:pStyle w:val="af1"/>
        <w:spacing w:before="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5D7BB6">
      <w:pPr>
        <w:pStyle w:val="af1"/>
        <w:numPr>
          <w:ilvl w:val="0"/>
          <w:numId w:val="21"/>
        </w:numPr>
        <w:spacing w:before="0" w:beforeAutospacing="0" w:after="0" w:afterAutospacing="0"/>
        <w:ind w:left="714" w:hanging="357"/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B258B1">
      <w:pPr>
        <w:pStyle w:val="af1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="00E5632D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5D7BB6">
      <w:pPr>
        <w:pStyle w:val="af1"/>
        <w:spacing w:before="0" w:beforeAutospacing="0" w:after="0" w:afterAutospacing="0"/>
        <w:ind w:left="357"/>
      </w:pPr>
      <w:r>
        <w:t>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lastRenderedPageBreak/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методов параметризации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Комплексные объекты блоки и их применение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стандартных примитивов для построения трехмерных твердотельных моделей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преобразования плоских замкнутых контуров для построения твердотельных трехмерных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Создание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AutoLISP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построения параметризованных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Разработка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Visual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CE021E">
        <w:rPr>
          <w:color w:val="auto"/>
          <w:sz w:val="24"/>
          <w:szCs w:val="24"/>
          <w:lang w:val="ru-RU"/>
        </w:rPr>
        <w:t>Basic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Моделирование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proofErr w:type="spellStart"/>
      <w:r w:rsidRPr="00CE021E">
        <w:rPr>
          <w:color w:val="auto"/>
          <w:sz w:val="24"/>
          <w:szCs w:val="24"/>
          <w:lang w:val="ru-RU"/>
        </w:rPr>
        <w:t>Параметричность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. Способы создания параметрических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</w:t>
      </w:r>
      <w:proofErr w:type="gramStart"/>
      <w:r w:rsidRPr="00CE021E">
        <w:rPr>
          <w:color w:val="auto"/>
          <w:sz w:val="24"/>
          <w:szCs w:val="24"/>
          <w:lang w:val="ru-RU"/>
        </w:rPr>
        <w:t>..</w:t>
      </w:r>
      <w:proofErr w:type="gramEnd"/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 xml:space="preserve">листичных моделей в </w:t>
      </w:r>
      <w:proofErr w:type="spellStart"/>
      <w:r>
        <w:rPr>
          <w:color w:val="auto"/>
          <w:sz w:val="24"/>
          <w:szCs w:val="24"/>
          <w:lang w:val="ru-RU"/>
        </w:rPr>
        <w:t>SolidWorks</w:t>
      </w:r>
      <w:proofErr w:type="spellEnd"/>
      <w:r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Выполнение расчетов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экзамена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1CAD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1F9A"/>
    <w:rsid w:val="00372169"/>
    <w:rsid w:val="003756DC"/>
    <w:rsid w:val="00380FA0"/>
    <w:rsid w:val="0038254B"/>
    <w:rsid w:val="00385BAD"/>
    <w:rsid w:val="00385D1D"/>
    <w:rsid w:val="00391165"/>
    <w:rsid w:val="003A0855"/>
    <w:rsid w:val="003A4D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31C5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C6174"/>
    <w:rsid w:val="005D3041"/>
    <w:rsid w:val="005D7BB6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01E3"/>
    <w:rsid w:val="009F44C5"/>
    <w:rsid w:val="009F44FB"/>
    <w:rsid w:val="00A203F4"/>
    <w:rsid w:val="00A217A2"/>
    <w:rsid w:val="00A33E48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AF589A"/>
    <w:rsid w:val="00B05B11"/>
    <w:rsid w:val="00B17CCE"/>
    <w:rsid w:val="00B258B1"/>
    <w:rsid w:val="00B269E8"/>
    <w:rsid w:val="00B35D33"/>
    <w:rsid w:val="00B36692"/>
    <w:rsid w:val="00B42AFD"/>
    <w:rsid w:val="00B504A5"/>
    <w:rsid w:val="00B561B2"/>
    <w:rsid w:val="00B67275"/>
    <w:rsid w:val="00B7359B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0FA8"/>
    <w:rsid w:val="00CF2BC0"/>
    <w:rsid w:val="00CF48B9"/>
    <w:rsid w:val="00CF7F48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4656"/>
    <w:rsid w:val="00DF673E"/>
    <w:rsid w:val="00E00925"/>
    <w:rsid w:val="00E01534"/>
    <w:rsid w:val="00E07C1C"/>
    <w:rsid w:val="00E10A60"/>
    <w:rsid w:val="00E20D60"/>
    <w:rsid w:val="00E347EB"/>
    <w:rsid w:val="00E35A7C"/>
    <w:rsid w:val="00E5632D"/>
    <w:rsid w:val="00E651D5"/>
    <w:rsid w:val="00E653A5"/>
    <w:rsid w:val="00E65414"/>
    <w:rsid w:val="00E65729"/>
    <w:rsid w:val="00E6578C"/>
    <w:rsid w:val="00E74365"/>
    <w:rsid w:val="00E7549A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1B13B-1225-437F-8A18-102BF7A5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357</TotalTime>
  <Pages>16</Pages>
  <Words>4795</Words>
  <Characters>27334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261</cp:revision>
  <cp:lastPrinted>1900-12-31T19:00:00Z</cp:lastPrinted>
  <dcterms:created xsi:type="dcterms:W3CDTF">2016-12-09T08:02:00Z</dcterms:created>
  <dcterms:modified xsi:type="dcterms:W3CDTF">2017-06-07T06:49:00Z</dcterms:modified>
</cp:coreProperties>
</file>