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r w:rsidR="009E5645" w:rsidRPr="00EE00EB">
              <w:rPr>
                <w:b/>
              </w:rPr>
              <w:t>ВО</w:t>
            </w:r>
            <w:r w:rsidR="009E5645" w:rsidRPr="00EE00EB">
              <w:t>: 12.03.2015</w:t>
            </w:r>
            <w:bookmarkStart w:id="0" w:name="_GoBack"/>
            <w:bookmarkEnd w:id="0"/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r w:rsidR="00D2059F" w:rsidRPr="002C5645">
        <w:rPr>
          <w:rFonts w:ascii="Times New Roman" w:hAnsi="Times New Roman" w:cs="Times New Roman"/>
        </w:rPr>
        <w:t>МОДУЛЯ «</w:t>
      </w:r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r w:rsidR="00D2059F" w:rsidRPr="00EE00EB">
        <w:rPr>
          <w:b/>
        </w:rPr>
        <w:t>2. Распределение</w:t>
      </w:r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13A" w:rsidRDefault="0063213A">
      <w:r>
        <w:separator/>
      </w:r>
    </w:p>
  </w:endnote>
  <w:endnote w:type="continuationSeparator" w:id="0">
    <w:p w:rsidR="0063213A" w:rsidRDefault="00632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13A" w:rsidRDefault="0063213A">
      <w:r>
        <w:separator/>
      </w:r>
    </w:p>
  </w:footnote>
  <w:footnote w:type="continuationSeparator" w:id="0">
    <w:p w:rsidR="0063213A" w:rsidRDefault="00632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D54AC"/>
    <w:rsid w:val="005E1EB1"/>
    <w:rsid w:val="005E64CB"/>
    <w:rsid w:val="005F2D0F"/>
    <w:rsid w:val="00624B52"/>
    <w:rsid w:val="0063213A"/>
    <w:rsid w:val="0063540B"/>
    <w:rsid w:val="00640C41"/>
    <w:rsid w:val="00641707"/>
    <w:rsid w:val="0065220C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9E5645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526E3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059F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1408</Words>
  <Characters>8028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132</cp:revision>
  <cp:lastPrinted>2017-05-17T07:56:00Z</cp:lastPrinted>
  <dcterms:created xsi:type="dcterms:W3CDTF">2016-12-09T08:28:00Z</dcterms:created>
  <dcterms:modified xsi:type="dcterms:W3CDTF">2018-02-26T08:20:00Z</dcterms:modified>
</cp:coreProperties>
</file>