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М1.</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Реквизиты приказа Минобрнауки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к.ф.н.</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ИНМиТ</w:t>
      </w:r>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Протокол № ______   от __________ г.</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1C0538">
        <w:t xml:space="preserve">навыки </w:t>
      </w:r>
      <w:r w:rsidR="006D6D5D">
        <w:t>перевода текстов</w:t>
      </w:r>
      <w:r w:rsidR="006D6D5D" w:rsidRPr="00965D5B">
        <w:t xml:space="preserve"> по специальности со словарем</w:t>
      </w:r>
      <w:r w:rsidR="006D6D5D">
        <w:t xml:space="preserve">,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Для проведения промежуточной аттестации по дисциплине разработаны фонд оценочных средств и балльно-рейтинговая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Планируемые результаты обучения по дисциплине</w:t>
      </w:r>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r w:rsidR="007113A3" w:rsidRPr="00456ADF" w:rsidTr="008063BB">
        <w:tc>
          <w:tcPr>
            <w:tcW w:w="10065" w:type="dxa"/>
          </w:tcPr>
          <w:p w:rsidR="007113A3" w:rsidRPr="003E76BF" w:rsidRDefault="007113A3" w:rsidP="008063BB">
            <w:pPr>
              <w:spacing w:before="60" w:after="60"/>
              <w:jc w:val="both"/>
              <w:rPr>
                <w:b/>
                <w:bCs/>
              </w:rPr>
            </w:pPr>
            <w:r w:rsidRPr="009C0F19">
              <w:rPr>
                <w:b/>
                <w:bCs/>
              </w:rPr>
              <w:t>ОПК-6</w:t>
            </w:r>
            <w:r w:rsidRPr="003E76BF">
              <w:rPr>
                <w:bCs/>
              </w:rPr>
              <w:t>:</w:t>
            </w:r>
            <w:r>
              <w:rPr>
                <w:bCs/>
              </w:rPr>
              <w:t xml:space="preserve"> способность </w:t>
            </w:r>
            <w:r w:rsidRPr="009C0F19">
              <w:rPr>
                <w:bCs/>
              </w:rPr>
              <w:t>анализировать</w:t>
            </w:r>
            <w:r>
              <w:rPr>
                <w:bCs/>
              </w:rPr>
              <w:t xml:space="preserve"> </w:t>
            </w:r>
            <w:r w:rsidRPr="009C0F19">
              <w:rPr>
                <w:bCs/>
              </w:rPr>
              <w:t>профессиональную</w:t>
            </w:r>
            <w:r>
              <w:rPr>
                <w:bCs/>
              </w:rPr>
              <w:t xml:space="preserve"> </w:t>
            </w:r>
            <w:r w:rsidRPr="009C0F19">
              <w:rPr>
                <w:bCs/>
              </w:rPr>
              <w:t>информацию,</w:t>
            </w:r>
            <w:r>
              <w:rPr>
                <w:bCs/>
              </w:rPr>
              <w:t xml:space="preserve"> </w:t>
            </w:r>
            <w:r w:rsidRPr="009C0F19">
              <w:rPr>
                <w:bCs/>
              </w:rPr>
              <w:t>выделять</w:t>
            </w:r>
            <w:r>
              <w:rPr>
                <w:bCs/>
              </w:rPr>
              <w:t xml:space="preserve"> </w:t>
            </w:r>
            <w:r w:rsidRPr="009C0F19">
              <w:rPr>
                <w:bCs/>
              </w:rPr>
              <w:t>в</w:t>
            </w:r>
            <w:r>
              <w:rPr>
                <w:bCs/>
              </w:rPr>
              <w:t xml:space="preserve"> </w:t>
            </w:r>
            <w:r w:rsidRPr="009C0F19">
              <w:rPr>
                <w:bCs/>
              </w:rPr>
              <w:t>ней</w:t>
            </w:r>
            <w:r>
              <w:rPr>
                <w:bCs/>
              </w:rPr>
              <w:t xml:space="preserve"> </w:t>
            </w:r>
            <w:r w:rsidRPr="009C0F19">
              <w:rPr>
                <w:bCs/>
              </w:rPr>
              <w:t>главное,</w:t>
            </w:r>
            <w:r>
              <w:rPr>
                <w:bCs/>
              </w:rPr>
              <w:t xml:space="preserve"> </w:t>
            </w:r>
            <w:r w:rsidRPr="009C0F19">
              <w:rPr>
                <w:bCs/>
              </w:rPr>
              <w:t>структурировать,</w:t>
            </w:r>
            <w:r>
              <w:rPr>
                <w:bCs/>
              </w:rPr>
              <w:t xml:space="preserve"> </w:t>
            </w:r>
            <w:r w:rsidRPr="009C0F19">
              <w:rPr>
                <w:bCs/>
              </w:rPr>
              <w:t>оформлять</w:t>
            </w:r>
            <w:r>
              <w:rPr>
                <w:bCs/>
              </w:rPr>
              <w:t xml:space="preserve"> </w:t>
            </w:r>
            <w:r w:rsidRPr="009C0F19">
              <w:rPr>
                <w:bCs/>
              </w:rPr>
              <w:t>и</w:t>
            </w:r>
            <w:r>
              <w:rPr>
                <w:bCs/>
              </w:rPr>
              <w:t xml:space="preserve"> </w:t>
            </w:r>
            <w:r w:rsidRPr="009C0F19">
              <w:rPr>
                <w:bCs/>
              </w:rPr>
              <w:t>представлять</w:t>
            </w:r>
            <w:r>
              <w:rPr>
                <w:bCs/>
              </w:rPr>
              <w:t xml:space="preserve"> </w:t>
            </w:r>
            <w:r w:rsidRPr="009C0F19">
              <w:rPr>
                <w:bCs/>
              </w:rPr>
              <w:t>в</w:t>
            </w:r>
            <w:r>
              <w:rPr>
                <w:bCs/>
              </w:rPr>
              <w:t xml:space="preserve"> </w:t>
            </w:r>
            <w:r w:rsidRPr="009C0F19">
              <w:rPr>
                <w:bCs/>
              </w:rPr>
              <w:t>виде</w:t>
            </w:r>
            <w:r>
              <w:rPr>
                <w:bCs/>
              </w:rPr>
              <w:t xml:space="preserve"> </w:t>
            </w:r>
            <w:r w:rsidRPr="009C0F19">
              <w:rPr>
                <w:bCs/>
              </w:rPr>
              <w:t>аналитических</w:t>
            </w:r>
            <w:r>
              <w:rPr>
                <w:bCs/>
              </w:rPr>
              <w:t xml:space="preserve"> </w:t>
            </w:r>
            <w:r w:rsidRPr="009C0F19">
              <w:rPr>
                <w:bCs/>
              </w:rPr>
              <w:t>обзоров</w:t>
            </w:r>
            <w:r>
              <w:rPr>
                <w:bCs/>
              </w:rPr>
              <w:t xml:space="preserve"> </w:t>
            </w:r>
            <w:r w:rsidRPr="009C0F19">
              <w:rPr>
                <w:bCs/>
              </w:rPr>
              <w:t>с</w:t>
            </w:r>
            <w:r>
              <w:rPr>
                <w:bCs/>
              </w:rPr>
              <w:t xml:space="preserve"> </w:t>
            </w:r>
            <w:r w:rsidRPr="009C0F19">
              <w:rPr>
                <w:bCs/>
              </w:rPr>
              <w:t>обоснованными</w:t>
            </w:r>
            <w:r>
              <w:rPr>
                <w:bCs/>
              </w:rPr>
              <w:t xml:space="preserve"> выводами и рекомендациями;</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составления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специальности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иностранном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r w:rsidRPr="006410E5">
              <w:rPr>
                <w:b/>
                <w:bCs/>
                <w:sz w:val="20"/>
                <w:szCs w:val="20"/>
              </w:rPr>
              <w:t>п/п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В т.ч.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r>
              <w:rPr>
                <w:bCs/>
              </w:rPr>
              <w:t>З</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з.е.</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r w:rsidR="008612A4">
              <w:rPr>
                <w:b/>
                <w:sz w:val="22"/>
                <w:szCs w:val="22"/>
              </w:rPr>
              <w:t>1</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профессиональных и научных интересов. Перевод статей. Составление терминологических словарей и глоссария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8612A4">
              <w:rPr>
                <w:b/>
                <w:sz w:val="22"/>
                <w:szCs w:val="22"/>
              </w:rPr>
              <w:t>2</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грамматики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речи,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Р4</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исследований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58"/>
        <w:gridCol w:w="553"/>
        <w:gridCol w:w="420"/>
        <w:gridCol w:w="481"/>
        <w:gridCol w:w="426"/>
        <w:gridCol w:w="429"/>
        <w:gridCol w:w="420"/>
        <w:gridCol w:w="520"/>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 xml:space="preserve">Объем модуля (зач.ед.):        </w:t>
            </w:r>
            <w:r w:rsidR="002861B2">
              <w:rPr>
                <w:sz w:val="16"/>
                <w:szCs w:val="16"/>
              </w:rPr>
              <w:t>9</w:t>
            </w:r>
          </w:p>
          <w:p w:rsidR="003465AA" w:rsidRPr="003C3315" w:rsidRDefault="003465AA" w:rsidP="003E69AE">
            <w:pPr>
              <w:widowControl w:val="0"/>
              <w:autoSpaceDE w:val="0"/>
              <w:autoSpaceDN w:val="0"/>
              <w:adjustRightInd w:val="0"/>
              <w:rPr>
                <w:sz w:val="16"/>
                <w:szCs w:val="16"/>
              </w:rPr>
            </w:pPr>
            <w:r w:rsidRPr="003C3315">
              <w:rPr>
                <w:sz w:val="16"/>
                <w:szCs w:val="16"/>
              </w:rPr>
              <w:t xml:space="preserve">Объем дисциплины (зач.ед.):  </w:t>
            </w:r>
            <w:r w:rsidR="002861B2">
              <w:rPr>
                <w:sz w:val="16"/>
                <w:szCs w:val="16"/>
              </w:rPr>
              <w:t>3</w:t>
            </w:r>
            <w:bookmarkStart w:id="8" w:name="_GoBack"/>
            <w:bookmarkEnd w:id="8"/>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4E2E26">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2"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(колич.)</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(колич.)</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w:t>
            </w:r>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0"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4E2E26">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 семинар. занятие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семинар-конфер.,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Реферат, эссе, творч.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 на иностр.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Перевод инояз.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9"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Р1</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61"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762A38">
            <w:pPr>
              <w:ind w:left="-284" w:right="-284"/>
              <w:jc w:val="center"/>
              <w:rPr>
                <w:sz w:val="16"/>
                <w:szCs w:val="16"/>
              </w:rPr>
            </w:pPr>
            <w:r w:rsidRPr="003C3315">
              <w:rPr>
                <w:sz w:val="16"/>
                <w:szCs w:val="16"/>
              </w:rPr>
              <w:t>Р</w:t>
            </w:r>
            <w:r>
              <w:rPr>
                <w:sz w:val="16"/>
                <w:szCs w:val="16"/>
              </w:rPr>
              <w:t>2</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Повторение грамматики</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Pr>
                <w:sz w:val="16"/>
                <w:szCs w:val="16"/>
              </w:rPr>
              <w:t>Р4</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21</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p>
        </w:tc>
        <w:tc>
          <w:tcPr>
            <w:tcW w:w="148" w:type="pct"/>
            <w:shd w:val="clear" w:color="auto" w:fill="auto"/>
            <w:noWrap/>
            <w:vAlign w:val="center"/>
          </w:tcPr>
          <w:p w:rsidR="004E2E26" w:rsidRDefault="004E2E26">
            <w:pPr>
              <w:rPr>
                <w:rFonts w:ascii="Arial CYR" w:hAnsi="Arial CYR" w:cs="Arial CYR"/>
                <w:sz w:val="16"/>
                <w:szCs w:val="16"/>
              </w:rPr>
            </w:pP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widowControl w:val="0"/>
              <w:autoSpaceDE w:val="0"/>
              <w:autoSpaceDN w:val="0"/>
              <w:adjustRightInd w:val="0"/>
              <w:jc w:val="center"/>
              <w:rPr>
                <w:sz w:val="16"/>
                <w:szCs w:val="16"/>
              </w:rPr>
            </w:pPr>
          </w:p>
        </w:tc>
        <w:tc>
          <w:tcPr>
            <w:tcW w:w="771" w:type="pct"/>
            <w:shd w:val="clear" w:color="auto" w:fill="auto"/>
            <w:noWrap/>
            <w:vAlign w:val="center"/>
          </w:tcPr>
          <w:p w:rsidR="004E2E26" w:rsidRPr="00894889" w:rsidRDefault="004E2E26"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4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12"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18</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20</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9" w:type="pct"/>
            <w:gridSpan w:val="2"/>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E2E26" w:rsidRPr="003C3315" w:rsidRDefault="004E2E26" w:rsidP="003E69AE">
            <w:pPr>
              <w:widowControl w:val="0"/>
              <w:autoSpaceDE w:val="0"/>
              <w:autoSpaceDN w:val="0"/>
              <w:adjustRightInd w:val="0"/>
              <w:jc w:val="center"/>
              <w:rPr>
                <w:bCs/>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r>
      <w:tr w:rsidR="003465AA" w:rsidRPr="003C3315" w:rsidTr="004E2E26">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0"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1"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Время на</w:t>
            </w:r>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Р1</w:t>
            </w:r>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Р2</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Р4</w:t>
            </w:r>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24C0F" w:rsidP="009A0EBB">
            <w:pPr>
              <w:snapToGrid w:val="0"/>
              <w:jc w:val="center"/>
            </w:pPr>
            <w:r>
              <w:t>18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r w:rsidRPr="00004091">
              <w:rPr>
                <w:sz w:val="22"/>
                <w:szCs w:val="22"/>
              </w:rPr>
              <w:t>Вебинары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r>
              <w:rPr>
                <w:bCs/>
                <w:iCs/>
              </w:rPr>
              <w:t>1</w:t>
            </w:r>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r>
              <w:rPr>
                <w:bCs/>
                <w:iCs/>
              </w:rPr>
              <w:t>2</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Р4</w:t>
            </w: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r w:rsidRPr="00153371">
        <w:rPr>
          <w:lang w:val="en-US"/>
        </w:rPr>
        <w:t>Tamzen A. Cambridge English for Scientists / A. Tamzen.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r>
        <w:t>Бгашев В.Н. Терминология машиностроения: краткий англо-русский словарь-справочник / В.Н. Бгашев,  Е.Ю. Долматовская. - М.: АСТ, Астрель, Транзиткнига, 2004. - 247 с.</w:t>
      </w:r>
    </w:p>
    <w:p w:rsidR="00153371" w:rsidRDefault="00153371" w:rsidP="00153371">
      <w:pPr>
        <w:pStyle w:val="a6"/>
        <w:numPr>
          <w:ilvl w:val="0"/>
          <w:numId w:val="39"/>
        </w:numPr>
        <w:jc w:val="both"/>
      </w:pPr>
      <w:r>
        <w:t>Воскобойников Б.С. Современный англо-русский словарь по машиностроению и автоматизации производства / Б.С. Воскобойников,  В.Л. Метрович.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Базавлук. – М.: Русский язык, 1990. – 567 с. </w:t>
      </w:r>
    </w:p>
    <w:p w:rsidR="00153371" w:rsidRDefault="00153371" w:rsidP="00153371">
      <w:pPr>
        <w:pStyle w:val="a6"/>
        <w:numPr>
          <w:ilvl w:val="0"/>
          <w:numId w:val="39"/>
        </w:numPr>
        <w:jc w:val="both"/>
      </w:pPr>
      <w:r>
        <w:t>Заржевский А.С. Англо-русский словарь по машиностроению и металлообработке / А.С. Заржевский.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8063B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0.4</w:t>
            </w:r>
          </w:p>
        </w:tc>
      </w:tr>
      <w:tr w:rsidR="009B30B2" w:rsidRPr="00641240" w:rsidTr="008063BB">
        <w:trPr>
          <w:trHeight w:val="302"/>
        </w:trPr>
        <w:tc>
          <w:tcPr>
            <w:tcW w:w="6796"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pStyle w:val="10"/>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r w:rsidRPr="00641240">
              <w:rPr>
                <w:rFonts w:ascii="Times New Roman" w:hAnsi="Times New Roman" w:cs="Times New Roman"/>
                <w:i/>
                <w:sz w:val="24"/>
                <w:szCs w:val="24"/>
              </w:rPr>
              <w:t xml:space="preserve"> </w:t>
            </w:r>
          </w:p>
        </w:tc>
        <w:tc>
          <w:tcPr>
            <w:tcW w:w="1785"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jc w:val="center"/>
              <w:rPr>
                <w:b/>
                <w:bCs/>
              </w:rPr>
            </w:pPr>
            <w:r w:rsidRPr="00641240">
              <w:rPr>
                <w:b/>
                <w:bCs/>
              </w:rPr>
              <w:t>Сроки – семестр,</w:t>
            </w:r>
          </w:p>
          <w:p w:rsidR="009B30B2" w:rsidRPr="00641240" w:rsidRDefault="009B30B2" w:rsidP="008063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r w:rsidRPr="00641240">
              <w:rPr>
                <w:b/>
                <w:bCs/>
              </w:rPr>
              <w:t>Максимальная оценка в баллах</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rsidRPr="000971F8">
              <w:t xml:space="preserve">Посещение лекций </w:t>
            </w:r>
          </w:p>
        </w:tc>
        <w:tc>
          <w:tcPr>
            <w:tcW w:w="1785" w:type="dxa"/>
            <w:tcBorders>
              <w:top w:val="single" w:sz="4" w:space="0" w:color="000000"/>
              <w:left w:val="single" w:sz="4" w:space="0" w:color="000000"/>
              <w:bottom w:val="single" w:sz="4" w:space="0" w:color="000000"/>
            </w:tcBorders>
            <w:shd w:val="clear" w:color="auto" w:fill="auto"/>
          </w:tcPr>
          <w:p w:rsidR="009B30B2" w:rsidRPr="002764E5" w:rsidRDefault="009B30B2" w:rsidP="009B30B2">
            <w:pPr>
              <w:jc w:val="center"/>
              <w:rPr>
                <w:lang w:val="en-US"/>
              </w:rPr>
            </w:pPr>
            <w:r>
              <w:rPr>
                <w:lang w:val="en-US"/>
              </w:rPr>
              <w:t>II</w:t>
            </w:r>
            <w:r w:rsidRPr="000971F8">
              <w:t>, 1-</w:t>
            </w:r>
            <w:r>
              <w:rPr>
                <w:lang w:val="en-US"/>
              </w:rPr>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36</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B30B2" w:rsidRPr="009B30B2" w:rsidRDefault="009B30B2" w:rsidP="009B30B2">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64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2764E5" w:rsidRDefault="009B30B2" w:rsidP="008063BB">
            <w:r w:rsidRPr="00641240">
              <w:rPr>
                <w:b/>
              </w:rPr>
              <w:t xml:space="preserve">Весовой коэффициент значимости результатов текущей аттестации по лекциям – </w:t>
            </w:r>
            <w:r w:rsidRPr="002764E5">
              <w:t>0.</w:t>
            </w:r>
            <w:r>
              <w:t>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pPr>
              <w:rPr>
                <w:b/>
              </w:rPr>
            </w:pPr>
            <w:r w:rsidRPr="00641240">
              <w:rPr>
                <w:b/>
              </w:rPr>
              <w:t>Промеж</w:t>
            </w:r>
            <w:r>
              <w:rPr>
                <w:b/>
              </w:rPr>
              <w:t xml:space="preserve">уточная аттестация по лекциям </w:t>
            </w:r>
            <w:r>
              <w:t>– зачёт</w:t>
            </w:r>
            <w:r w:rsidRPr="00641240">
              <w:rPr>
                <w:i/>
              </w:rPr>
              <w:t xml:space="preserve"> </w:t>
            </w:r>
          </w:p>
          <w:p w:rsidR="009B30B2" w:rsidRPr="00641240" w:rsidRDefault="009B30B2" w:rsidP="008063BB">
            <w:r w:rsidRPr="00641240">
              <w:rPr>
                <w:b/>
              </w:rPr>
              <w:t>Весовой коэффициент значимости результатов промежу</w:t>
            </w:r>
            <w:r>
              <w:rPr>
                <w:b/>
              </w:rPr>
              <w:t xml:space="preserve">точной аттестации по лекциям – </w:t>
            </w:r>
            <w:r w:rsidRPr="002764E5">
              <w:t>0.6</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t>0</w:t>
            </w:r>
            <w:r w:rsidR="009B30B2" w:rsidRPr="009B30B2">
              <w:t>.6</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9B30B2"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9B30B2" w:rsidRDefault="009B30B2" w:rsidP="009A0EBB">
            <w:pPr>
              <w:rPr>
                <w:lang w:val="en-US"/>
              </w:rPr>
            </w:pPr>
            <w:r>
              <w:rPr>
                <w:lang w:val="en-US"/>
              </w:rPr>
              <w:t>22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A45DB7">
            <w:r w:rsidRPr="00641240">
              <w:rPr>
                <w:b/>
              </w:rPr>
              <w:t xml:space="preserve">Весовой коэффициент значимости результатов текущей аттестации по практическим/семинарским занятиям– </w:t>
            </w:r>
            <w:r w:rsidR="00A45DB7" w:rsidRPr="00A45DB7">
              <w:t>1.</w:t>
            </w:r>
            <w:r w:rsidR="005B2D69" w:rsidRPr="00A45DB7">
              <w:t>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A45DB7" w:rsidRDefault="004162ED" w:rsidP="009A0EBB">
            <w:pPr>
              <w:rPr>
                <w:b/>
              </w:rPr>
            </w:pPr>
            <w:r w:rsidRPr="00641240">
              <w:rPr>
                <w:b/>
              </w:rPr>
              <w:t>Промежуточная аттестация по практическим/семинарским занятиям–</w:t>
            </w:r>
            <w:r>
              <w:rPr>
                <w:b/>
              </w:rPr>
              <w:t xml:space="preserve"> </w:t>
            </w:r>
            <w:r w:rsidR="00A45DB7">
              <w:t>не предусмотрена</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A45DB7" w:rsidRPr="009E306F">
              <w:t>0</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 xml:space="preserve">Фонд оценочных средств предназначен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7425"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2861B2"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1C0538"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1C0538"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иностранного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r w:rsidRPr="0005109F">
          <w:rPr>
            <w:rStyle w:val="a9"/>
            <w:rFonts w:ascii="Times New Roman" w:hAnsi="Times New Roman" w:cs="Times New Roman"/>
            <w:color w:val="auto"/>
            <w:sz w:val="22"/>
            <w:szCs w:val="22"/>
            <w:lang w:val="en-US"/>
          </w:rPr>
          <w:t>Middle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toolpath—began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Middle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Vinci</w:t>
        </w:r>
      </w:hyperlink>
      <w:r w:rsidRPr="0005109F">
        <w:rPr>
          <w:rFonts w:ascii="Times New Roman" w:hAnsi="Times New Roman" w:cs="Times New Roman"/>
          <w:sz w:val="22"/>
          <w:szCs w:val="22"/>
          <w:lang w:val="en-US"/>
        </w:rPr>
        <w:t xml:space="preserve"> helped expand humans' technological milieu toward the preconditions for industrial machine tools. During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textile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Boulton's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automobiles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industries.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chisel and could be made into gears and other complex parts; however, hand working lacked precision and was a slow and expensive process.</w:t>
      </w:r>
    </w:p>
    <w:p w:rsidR="00A554E2" w:rsidRPr="0005109F" w:rsidRDefault="002861B2" w:rsidP="00A554E2">
      <w:pPr>
        <w:pStyle w:val="af"/>
        <w:jc w:val="both"/>
        <w:rPr>
          <w:rFonts w:ascii="Times New Roman" w:hAnsi="Times New Roman" w:cs="Times New Roman"/>
          <w:sz w:val="22"/>
          <w:szCs w:val="22"/>
          <w:lang w:val="en-US"/>
        </w:rPr>
      </w:pPr>
      <w:hyperlink r:id="rId32" w:tooltip="James Watt" w:history="1">
        <w:r w:rsidR="00A554E2" w:rsidRPr="0005109F">
          <w:rPr>
            <w:rStyle w:val="a9"/>
            <w:rFonts w:ascii="Times New Roman" w:hAnsi="Times New Roman" w:cs="Times New Roman"/>
            <w:color w:val="auto"/>
            <w:sz w:val="22"/>
            <w:szCs w:val="22"/>
            <w:lang w:val="en-US"/>
          </w:rPr>
          <w:t>James Watt</w:t>
        </w:r>
      </w:hyperlink>
      <w:r w:rsidR="00A554E2"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00A554E2" w:rsidRPr="0005109F">
          <w:rPr>
            <w:rStyle w:val="a9"/>
            <w:rFonts w:ascii="Times New Roman" w:hAnsi="Times New Roman" w:cs="Times New Roman"/>
            <w:color w:val="auto"/>
            <w:sz w:val="22"/>
            <w:szCs w:val="22"/>
            <w:lang w:val="en-US"/>
          </w:rPr>
          <w:t>John Wilkinson</w:t>
        </w:r>
      </w:hyperlink>
      <w:r w:rsidR="00A554E2" w:rsidRPr="0005109F">
        <w:rPr>
          <w:rFonts w:ascii="Times New Roman" w:hAnsi="Times New Roman" w:cs="Times New Roman"/>
          <w:sz w:val="22"/>
          <w:szCs w:val="22"/>
          <w:lang w:val="en-US"/>
        </w:rPr>
        <w:t xml:space="preserve"> invented a suitable boring machine in 1774, boring Boulton &amp; Watt's first commercial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The advance in the accuracy of machine tools can be traced to Henry Maudslay and refined by Joseph Whitworth. That Maudslay had established the manufacture and use of master plane gages in his shop (Maudslay &amp; Field) located on Westminster Road south of the Thames River in London about 1809, was attested to by James Nasmyth who was employed by Maudslay in 1829 and Nasmyth documented their use in his autobiography.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Maudslay shop. The process begins with three plates each given an identification (ex., 1,2 and 3). The first step is to rub plates 1 and 2 together with a marking medium (called bluing today) revealing the high spots which would be removed by hand scraping with a steel scraper, until no irregularities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русского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инструментов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 xml:space="preserve">в эту группу входят станки, которые предназначены для обработки поверхностей вращения. При обработке на станках данной группы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выполняется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которых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xml:space="preserve">. В данную группу входят станки, использующие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пасты,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Данная группа станков предназначена для обработки зубьев колес, сюда так же включаются зубошлифовальные станки.</w:t>
      </w:r>
    </w:p>
    <w:p w:rsidR="00A554E2" w:rsidRPr="002A7CA2" w:rsidRDefault="00A554E2" w:rsidP="00A554E2">
      <w:pPr>
        <w:numPr>
          <w:ilvl w:val="0"/>
          <w:numId w:val="40"/>
        </w:numPr>
        <w:spacing w:before="100" w:beforeAutospacing="1" w:after="100" w:afterAutospacing="1"/>
        <w:jc w:val="both"/>
      </w:pPr>
      <w:r w:rsidRPr="002A7CA2">
        <w:rPr>
          <w:b/>
          <w:bCs/>
        </w:rPr>
        <w:t>Девятая группа - резьбообрабатывающие станки.</w:t>
      </w:r>
      <w:r w:rsidRPr="002A7CA2">
        <w:t xml:space="preserve"> Данная группа станков предназначена для изготовления резьб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Станки не вошедшие в другие группы.</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4">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7">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5">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5"/>
  </w:num>
  <w:num w:numId="4">
    <w:abstractNumId w:val="14"/>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3"/>
  </w:num>
  <w:num w:numId="10">
    <w:abstractNumId w:val="32"/>
  </w:num>
  <w:num w:numId="11">
    <w:abstractNumId w:val="3"/>
  </w:num>
  <w:num w:numId="12">
    <w:abstractNumId w:val="33"/>
  </w:num>
  <w:num w:numId="13">
    <w:abstractNumId w:val="39"/>
  </w:num>
  <w:num w:numId="14">
    <w:abstractNumId w:val="26"/>
  </w:num>
  <w:num w:numId="15">
    <w:abstractNumId w:val="38"/>
  </w:num>
  <w:num w:numId="16">
    <w:abstractNumId w:val="30"/>
  </w:num>
  <w:num w:numId="17">
    <w:abstractNumId w:val="36"/>
  </w:num>
  <w:num w:numId="18">
    <w:abstractNumId w:val="37"/>
  </w:num>
  <w:num w:numId="19">
    <w:abstractNumId w:val="16"/>
  </w:num>
  <w:num w:numId="20">
    <w:abstractNumId w:val="4"/>
  </w:num>
  <w:num w:numId="21">
    <w:abstractNumId w:val="34"/>
  </w:num>
  <w:num w:numId="22">
    <w:abstractNumId w:val="35"/>
  </w:num>
  <w:num w:numId="23">
    <w:abstractNumId w:val="2"/>
  </w:num>
  <w:num w:numId="24">
    <w:abstractNumId w:val="28"/>
  </w:num>
  <w:num w:numId="25">
    <w:abstractNumId w:val="1"/>
  </w:num>
  <w:num w:numId="26">
    <w:abstractNumId w:val="21"/>
  </w:num>
  <w:num w:numId="27">
    <w:abstractNumId w:val="17"/>
  </w:num>
  <w:num w:numId="28">
    <w:abstractNumId w:val="18"/>
  </w:num>
  <w:num w:numId="29">
    <w:abstractNumId w:val="19"/>
  </w:num>
  <w:num w:numId="30">
    <w:abstractNumId w:val="8"/>
  </w:num>
  <w:num w:numId="31">
    <w:abstractNumId w:val="5"/>
  </w:num>
  <w:num w:numId="32">
    <w:abstractNumId w:val="15"/>
  </w:num>
  <w:num w:numId="33">
    <w:abstractNumId w:val="22"/>
  </w:num>
  <w:num w:numId="34">
    <w:abstractNumId w:val="20"/>
  </w:num>
  <w:num w:numId="35">
    <w:abstractNumId w:val="24"/>
  </w:num>
  <w:num w:numId="36">
    <w:abstractNumId w:val="10"/>
  </w:num>
  <w:num w:numId="37">
    <w:abstractNumId w:val="12"/>
  </w:num>
  <w:num w:numId="38">
    <w:abstractNumId w:val="27"/>
  </w:num>
  <w:num w:numId="39">
    <w:abstractNumId w:val="31"/>
  </w:num>
  <w:num w:numId="4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0538"/>
    <w:rsid w:val="001C2BCF"/>
    <w:rsid w:val="001D7C68"/>
    <w:rsid w:val="001E1019"/>
    <w:rsid w:val="001E3529"/>
    <w:rsid w:val="001E5B6D"/>
    <w:rsid w:val="001F4B5C"/>
    <w:rsid w:val="0022342B"/>
    <w:rsid w:val="00240CC9"/>
    <w:rsid w:val="002764E5"/>
    <w:rsid w:val="00281EB6"/>
    <w:rsid w:val="00284E37"/>
    <w:rsid w:val="002861B2"/>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D6D5D"/>
    <w:rsid w:val="006E42E4"/>
    <w:rsid w:val="006F3BEB"/>
    <w:rsid w:val="00705705"/>
    <w:rsid w:val="007113A3"/>
    <w:rsid w:val="007132A9"/>
    <w:rsid w:val="0071371A"/>
    <w:rsid w:val="0071635A"/>
    <w:rsid w:val="007260E5"/>
    <w:rsid w:val="00762A38"/>
    <w:rsid w:val="00763218"/>
    <w:rsid w:val="00766558"/>
    <w:rsid w:val="00773C5E"/>
    <w:rsid w:val="00773F9A"/>
    <w:rsid w:val="00790B45"/>
    <w:rsid w:val="007A4811"/>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E306F"/>
    <w:rsid w:val="009F44C5"/>
    <w:rsid w:val="00A0330C"/>
    <w:rsid w:val="00A07A39"/>
    <w:rsid w:val="00A15C7B"/>
    <w:rsid w:val="00A30447"/>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B4E2-C385-4897-A6F7-1A06B5AAC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365</TotalTime>
  <Pages>13</Pages>
  <Words>3821</Words>
  <Characters>21780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191</cp:revision>
  <cp:lastPrinted>1900-12-31T19:00:00Z</cp:lastPrinted>
  <dcterms:created xsi:type="dcterms:W3CDTF">2016-12-09T08:14:00Z</dcterms:created>
  <dcterms:modified xsi:type="dcterms:W3CDTF">2017-12-16T11:35:00Z</dcterms:modified>
</cp:coreProperties>
</file>