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</w:t>
            </w:r>
            <w:r w:rsidR="00B84776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552E86" w:rsidRDefault="004131D8" w:rsidP="004131D8">
      <w:pPr>
        <w:jc w:val="center"/>
        <w:rPr>
          <w:color w:val="auto"/>
          <w:lang w:val="en-US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52E86">
        <w:rPr>
          <w:b/>
          <w:color w:val="auto"/>
          <w:lang w:val="en-US"/>
        </w:rPr>
        <w:t>8</w:t>
      </w:r>
      <w:bookmarkStart w:id="0" w:name="_GoBack"/>
      <w:bookmarkEnd w:id="0"/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конструкторского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использованию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681151" w:rsidP="00681151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194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>/</w:t>
      </w:r>
      <w:r w:rsidR="006055B0" w:rsidRPr="00B84776">
        <w:rPr>
          <w:b/>
        </w:rPr>
        <w:t>1</w:t>
      </w:r>
      <w:r w:rsidRPr="007756A3">
        <w:rPr>
          <w:b/>
        </w:rPr>
        <w:t xml:space="preserve">20 = </w:t>
      </w:r>
      <w:r w:rsidRPr="00040EBA">
        <w:rPr>
          <w:b/>
        </w:rPr>
        <w:t>2</w:t>
      </w:r>
      <w:r w:rsidR="006055B0" w:rsidRPr="00B84776">
        <w:rPr>
          <w:b/>
        </w:rPr>
        <w:t>.</w:t>
      </w:r>
      <w:r w:rsidRPr="00040EBA">
        <w:rPr>
          <w:b/>
        </w:rPr>
        <w:t>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F18F4">
        <w:rPr>
          <w:color w:val="auto"/>
          <w:sz w:val="24"/>
          <w:szCs w:val="24"/>
        </w:rPr>
        <w:t>ИНМТ: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552501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552502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552503" r:id="rId13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4" o:title=""/>
          </v:shape>
          <o:OLEObject Type="Embed" ProgID="Equation.3" ShapeID="_x0000_i1028" DrawAspect="Content" ObjectID="_1580552504" r:id="rId15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lastRenderedPageBreak/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6" o:title=""/>
          </v:shape>
          <o:OLEObject Type="Embed" ProgID="Equation.3" ShapeID="_x0000_i1029" DrawAspect="Content" ObjectID="_1580552505" r:id="rId17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8" o:title=""/>
          </v:shape>
          <o:OLEObject Type="Embed" ProgID="Equation.3" ShapeID="_x0000_i1030" DrawAspect="Content" ObjectID="_1580552506" r:id="rId19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54" w:rsidRDefault="00BA2054">
      <w:r>
        <w:separator/>
      </w:r>
    </w:p>
  </w:endnote>
  <w:endnote w:type="continuationSeparator" w:id="0">
    <w:p w:rsidR="00BA2054" w:rsidRDefault="00B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52E8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52E86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54" w:rsidRDefault="00BA2054">
      <w:r>
        <w:separator/>
      </w:r>
    </w:p>
  </w:footnote>
  <w:footnote w:type="continuationSeparator" w:id="0">
    <w:p w:rsidR="00BA2054" w:rsidRDefault="00BA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18F4"/>
    <w:rsid w:val="004F3BC7"/>
    <w:rsid w:val="00511692"/>
    <w:rsid w:val="00537D69"/>
    <w:rsid w:val="00547A3A"/>
    <w:rsid w:val="00552E86"/>
    <w:rsid w:val="00557E3C"/>
    <w:rsid w:val="00573122"/>
    <w:rsid w:val="005776F1"/>
    <w:rsid w:val="005828C7"/>
    <w:rsid w:val="005833D1"/>
    <w:rsid w:val="0058684D"/>
    <w:rsid w:val="00596FB1"/>
    <w:rsid w:val="005A503E"/>
    <w:rsid w:val="005A7C50"/>
    <w:rsid w:val="005B7A62"/>
    <w:rsid w:val="005E64CB"/>
    <w:rsid w:val="005F074C"/>
    <w:rsid w:val="005F19CC"/>
    <w:rsid w:val="006055B0"/>
    <w:rsid w:val="00605927"/>
    <w:rsid w:val="00624B52"/>
    <w:rsid w:val="0063540B"/>
    <w:rsid w:val="00640C41"/>
    <w:rsid w:val="00641707"/>
    <w:rsid w:val="006652B8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84776"/>
    <w:rsid w:val="00B900CD"/>
    <w:rsid w:val="00B929E7"/>
    <w:rsid w:val="00BA2054"/>
    <w:rsid w:val="00BB0EEE"/>
    <w:rsid w:val="00BB20E3"/>
    <w:rsid w:val="00BB6389"/>
    <w:rsid w:val="00BB7FCA"/>
    <w:rsid w:val="00BF2007"/>
    <w:rsid w:val="00BF3376"/>
    <w:rsid w:val="00BF37C6"/>
    <w:rsid w:val="00C07AD1"/>
    <w:rsid w:val="00C379EE"/>
    <w:rsid w:val="00C42CB2"/>
    <w:rsid w:val="00C84510"/>
    <w:rsid w:val="00C852E5"/>
    <w:rsid w:val="00CA715B"/>
    <w:rsid w:val="00CB158A"/>
    <w:rsid w:val="00CC219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1F598D"/>
  <w15:docId w15:val="{D8FF806D-1936-4A76-BE46-113B1DE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71</cp:revision>
  <cp:lastPrinted>2013-04-29T06:42:00Z</cp:lastPrinted>
  <dcterms:created xsi:type="dcterms:W3CDTF">2016-12-09T08:49:00Z</dcterms:created>
  <dcterms:modified xsi:type="dcterms:W3CDTF">2018-02-19T08:35:00Z</dcterms:modified>
</cp:coreProperties>
</file>