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Default="0033179D" w:rsidP="0033179D">
      <w:pPr>
        <w:rPr>
          <w:b/>
          <w:lang w:val="en-US"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</w:t>
      </w:r>
      <w:r w:rsidRPr="00D52BF3">
        <w:rPr>
          <w:b/>
          <w:sz w:val="22"/>
          <w:szCs w:val="22"/>
        </w:rPr>
        <w:t>о</w:t>
      </w:r>
      <w:r w:rsidRPr="00D52BF3">
        <w:rPr>
          <w:b/>
          <w:sz w:val="22"/>
          <w:szCs w:val="22"/>
        </w:rPr>
        <w:t>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Default="00D52BF3" w:rsidP="00D52BF3">
      <w:pPr>
        <w:rPr>
          <w:b/>
          <w:lang w:val="en-US"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</w:t>
            </w:r>
            <w:r w:rsidRPr="00961A7F">
              <w:rPr>
                <w:b/>
                <w:bCs/>
              </w:rPr>
              <w:t>е</w:t>
            </w:r>
            <w:r w:rsidRPr="00961A7F">
              <w:rPr>
                <w:b/>
                <w:bCs/>
              </w:rPr>
              <w:t>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bookmarkStart w:id="8" w:name="_GoBack"/>
      <w:bookmarkEnd w:id="8"/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Указать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технологическую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5"/>
        <w:gridCol w:w="3258"/>
        <w:gridCol w:w="3230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</w:t>
            </w:r>
            <w:r w:rsidRPr="00961A7F">
              <w:rPr>
                <w:b/>
              </w:rPr>
              <w:t>е</w:t>
            </w:r>
            <w:r w:rsidRPr="00961A7F">
              <w:rPr>
                <w:b/>
              </w:rPr>
              <w:t>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</w:t>
            </w:r>
            <w:r w:rsidRPr="00961A7F">
              <w:rPr>
                <w:b/>
                <w:i/>
              </w:rPr>
              <w:t>к</w:t>
            </w:r>
            <w:r w:rsidRPr="00961A7F">
              <w:rPr>
                <w:b/>
                <w:i/>
              </w:rPr>
              <w:t>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</w:t>
            </w:r>
            <w:r w:rsidR="00507B57" w:rsidRPr="00961A7F">
              <w:rPr>
                <w:b/>
                <w:i/>
              </w:rPr>
              <w:t>н</w:t>
            </w:r>
            <w:r w:rsidR="00507B57" w:rsidRPr="00961A7F">
              <w:rPr>
                <w:b/>
                <w:i/>
              </w:rPr>
              <w:t>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вопросов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следовательских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мостоятельных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</w:t>
            </w:r>
            <w:r w:rsidR="00507B57" w:rsidRPr="00961A7F">
              <w:rPr>
                <w:b/>
                <w:i/>
              </w:rPr>
              <w:t>с</w:t>
            </w:r>
            <w:r w:rsidR="00507B57" w:rsidRPr="00961A7F">
              <w:rPr>
                <w:b/>
                <w:i/>
              </w:rPr>
              <w:t>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проектов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проведению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измер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9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lastRenderedPageBreak/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</w:t>
      </w:r>
      <w:r w:rsidR="007809AE" w:rsidRPr="00961A7F">
        <w:rPr>
          <w:i/>
        </w:rPr>
        <w:t>т</w:t>
      </w:r>
      <w:r w:rsidR="007809AE" w:rsidRPr="00961A7F">
        <w:rPr>
          <w:i/>
        </w:rPr>
        <w:t>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3424"/>
        <w:gridCol w:w="3180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</w:t>
            </w:r>
            <w:r w:rsidRPr="00961A7F">
              <w:rPr>
                <w:b/>
                <w:i/>
              </w:rPr>
              <w:t>и</w:t>
            </w:r>
            <w:r w:rsidRPr="00961A7F">
              <w:rPr>
                <w:b/>
                <w:i/>
              </w:rPr>
              <w:t>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изданий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</w:t>
            </w:r>
            <w:r w:rsidRPr="00961A7F">
              <w:rPr>
                <w:i/>
                <w:spacing w:val="-5"/>
              </w:rPr>
              <w:t>а</w:t>
            </w:r>
            <w:r w:rsidRPr="00961A7F">
              <w:rPr>
                <w:i/>
                <w:spacing w:val="-5"/>
              </w:rPr>
              <w:t>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</w:t>
            </w:r>
            <w:r w:rsidRPr="00961A7F">
              <w:rPr>
                <w:i/>
                <w:spacing w:val="-5"/>
              </w:rPr>
              <w:t>о</w:t>
            </w:r>
            <w:r w:rsidRPr="00961A7F">
              <w:rPr>
                <w:i/>
                <w:spacing w:val="-5"/>
              </w:rPr>
              <w:t>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</w:t>
            </w:r>
            <w:r w:rsidR="007D43E0" w:rsidRPr="007D43E0">
              <w:rPr>
                <w:i/>
              </w:rPr>
              <w:t>о</w:t>
            </w:r>
            <w:r w:rsidR="007D43E0" w:rsidRPr="007D43E0">
              <w:rPr>
                <w:i/>
              </w:rPr>
              <w:t>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</w:t>
            </w:r>
            <w:r w:rsidR="007D43E0" w:rsidRPr="007D43E0">
              <w:rPr>
                <w:i/>
                <w:spacing w:val="-5"/>
              </w:rPr>
              <w:t>н</w:t>
            </w:r>
            <w:r w:rsidR="007D43E0" w:rsidRPr="007D43E0">
              <w:rPr>
                <w:i/>
                <w:spacing w:val="-5"/>
              </w:rPr>
              <w:t>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</w:t>
            </w:r>
            <w:r w:rsidRPr="00961A7F">
              <w:rPr>
                <w:i/>
                <w:spacing w:val="-4"/>
              </w:rPr>
              <w:t>и</w:t>
            </w:r>
            <w:r w:rsidRPr="00961A7F">
              <w:rPr>
                <w:i/>
                <w:spacing w:val="-4"/>
              </w:rPr>
              <w:t>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lastRenderedPageBreak/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р</w:t>
            </w:r>
            <w:r w:rsidR="007D43E0" w:rsidRPr="00961A7F">
              <w:rPr>
                <w:i/>
                <w:spacing w:val="-4"/>
              </w:rPr>
              <w:t>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</w:t>
            </w:r>
            <w:r w:rsidR="007D43E0" w:rsidRPr="00961A7F">
              <w:rPr>
                <w:i/>
                <w:spacing w:val="-4"/>
              </w:rPr>
              <w:t>у</w:t>
            </w:r>
            <w:r w:rsidR="007D43E0" w:rsidRPr="00961A7F">
              <w:rPr>
                <w:i/>
                <w:spacing w:val="-4"/>
              </w:rPr>
              <w:t>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lastRenderedPageBreak/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2930"/>
        <w:gridCol w:w="2588"/>
        <w:gridCol w:w="1915"/>
      </w:tblGrid>
      <w:tr w:rsidR="003A3A9D" w:rsidRPr="00961A7F" w:rsidTr="00484A89">
        <w:tc>
          <w:tcPr>
            <w:tcW w:w="9713" w:type="dxa"/>
            <w:gridSpan w:val="4"/>
            <w:shd w:val="clear" w:color="auto" w:fill="auto"/>
          </w:tcPr>
          <w:p w:rsidR="003A3A9D" w:rsidRPr="00961A7F" w:rsidRDefault="003A3A9D" w:rsidP="005F0D69">
            <w:pPr>
              <w:jc w:val="center"/>
              <w:rPr>
                <w:b/>
              </w:rPr>
            </w:pPr>
            <w:bookmarkStart w:id="14" w:name="_Toc292827878"/>
            <w:r w:rsidRPr="00961A7F">
              <w:rPr>
                <w:b/>
              </w:rPr>
              <w:t>Виды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3A3A9D" w:rsidRPr="00961A7F" w:rsidTr="00CB2AEA">
        <w:tc>
          <w:tcPr>
            <w:tcW w:w="2280" w:type="dxa"/>
            <w:shd w:val="clear" w:color="auto" w:fill="auto"/>
            <w:vAlign w:val="center"/>
          </w:tcPr>
          <w:p w:rsidR="003A3A9D" w:rsidRPr="00961A7F" w:rsidRDefault="003A3A9D" w:rsidP="00CB2AEA">
            <w:pPr>
              <w:jc w:val="center"/>
            </w:pPr>
            <w:r w:rsidRPr="00493458">
              <w:rPr>
                <w:sz w:val="22"/>
                <w:szCs w:val="22"/>
              </w:rPr>
              <w:t>Научно-исследовательская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работа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3A3A9D" w:rsidRPr="00961A7F" w:rsidRDefault="00CB2AEA" w:rsidP="00CB2AEA">
            <w:pPr>
              <w:jc w:val="center"/>
            </w:pPr>
            <w:r w:rsidRPr="00493458">
              <w:rPr>
                <w:sz w:val="22"/>
                <w:szCs w:val="22"/>
              </w:rPr>
              <w:t>Практика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получению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первичных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профессионал</w:t>
            </w:r>
            <w:r w:rsidRPr="00493458">
              <w:rPr>
                <w:sz w:val="22"/>
                <w:szCs w:val="22"/>
              </w:rPr>
              <w:t>ь</w:t>
            </w:r>
            <w:r w:rsidRPr="00493458">
              <w:rPr>
                <w:sz w:val="22"/>
                <w:szCs w:val="22"/>
              </w:rPr>
              <w:t>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умений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навыков</w:t>
            </w:r>
          </w:p>
        </w:tc>
        <w:tc>
          <w:tcPr>
            <w:tcW w:w="2588" w:type="dxa"/>
            <w:shd w:val="clear" w:color="auto" w:fill="auto"/>
            <w:vAlign w:val="center"/>
          </w:tcPr>
          <w:p w:rsidR="003A3A9D" w:rsidRPr="00961A7F" w:rsidRDefault="00CB2AEA" w:rsidP="00CB2AEA">
            <w:pPr>
              <w:jc w:val="center"/>
            </w:pPr>
            <w:r w:rsidRPr="00493458">
              <w:rPr>
                <w:sz w:val="22"/>
                <w:szCs w:val="22"/>
              </w:rPr>
              <w:t>Педагогическая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практ</w:t>
            </w:r>
            <w:r w:rsidRPr="00493458">
              <w:rPr>
                <w:sz w:val="22"/>
                <w:szCs w:val="22"/>
              </w:rPr>
              <w:t>и</w:t>
            </w:r>
            <w:r w:rsidRPr="00493458">
              <w:rPr>
                <w:sz w:val="22"/>
                <w:szCs w:val="22"/>
              </w:rPr>
              <w:t>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получению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</w:t>
            </w:r>
            <w:r w:rsidRPr="00493458">
              <w:rPr>
                <w:sz w:val="22"/>
                <w:szCs w:val="22"/>
              </w:rPr>
              <w:t>о</w:t>
            </w:r>
            <w:r w:rsidRPr="00493458">
              <w:rPr>
                <w:sz w:val="22"/>
                <w:szCs w:val="22"/>
              </w:rPr>
              <w:t>фессиональных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умений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опыта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профессионал</w:t>
            </w:r>
            <w:r w:rsidRPr="00493458">
              <w:rPr>
                <w:sz w:val="22"/>
                <w:szCs w:val="22"/>
              </w:rPr>
              <w:t>ь</w:t>
            </w:r>
            <w:r w:rsidRPr="00493458">
              <w:rPr>
                <w:sz w:val="22"/>
                <w:szCs w:val="22"/>
              </w:rPr>
              <w:t>ной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1915" w:type="dxa"/>
            <w:vAlign w:val="center"/>
          </w:tcPr>
          <w:p w:rsidR="003A3A9D" w:rsidRPr="00961A7F" w:rsidRDefault="00CB2AEA" w:rsidP="00CB2AEA">
            <w:pPr>
              <w:jc w:val="center"/>
              <w:rPr>
                <w:sz w:val="22"/>
                <w:szCs w:val="22"/>
              </w:rPr>
            </w:pPr>
            <w:r w:rsidRPr="00493458">
              <w:rPr>
                <w:sz w:val="22"/>
                <w:szCs w:val="22"/>
              </w:rPr>
              <w:t>Преддипломная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93458">
              <w:rPr>
                <w:sz w:val="22"/>
                <w:szCs w:val="22"/>
              </w:rPr>
              <w:t>практика</w:t>
            </w:r>
          </w:p>
        </w:tc>
      </w:tr>
      <w:tr w:rsidR="003A3A9D" w:rsidRPr="00961A7F" w:rsidTr="004D71AD">
        <w:tc>
          <w:tcPr>
            <w:tcW w:w="9713" w:type="dxa"/>
            <w:gridSpan w:val="4"/>
            <w:shd w:val="clear" w:color="auto" w:fill="auto"/>
          </w:tcPr>
          <w:p w:rsidR="003A3A9D" w:rsidRPr="00CB2AEA" w:rsidRDefault="00CB2AEA" w:rsidP="00CB2AEA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аборатории, специально оборудованные кабинеты, измерительные и вычислительные комплек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сы, 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E0CE8">
              <w:rPr>
                <w:rFonts w:ascii="Times New Roman" w:hAnsi="Times New Roman" w:cs="Times New Roman"/>
                <w:sz w:val="24"/>
                <w:szCs w:val="24"/>
              </w:rPr>
              <w:t>ственных и научно-производственных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10" w:rsidRDefault="00CA2F10" w:rsidP="00624E0A">
      <w:r>
        <w:separator/>
      </w:r>
    </w:p>
  </w:endnote>
  <w:endnote w:type="continuationSeparator" w:id="0">
    <w:p w:rsidR="00CA2F10" w:rsidRDefault="00CA2F10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10" w:rsidRDefault="00CA2F10" w:rsidP="00624E0A">
      <w:r>
        <w:separator/>
      </w:r>
    </w:p>
  </w:footnote>
  <w:footnote w:type="continuationSeparator" w:id="0">
    <w:p w:rsidR="00CA2F10" w:rsidRDefault="00CA2F10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1503"/>
    <w:rsid w:val="00286550"/>
    <w:rsid w:val="002A2A09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9436E"/>
    <w:rsid w:val="00BB41C2"/>
    <w:rsid w:val="00BD0D65"/>
    <w:rsid w:val="00BF3148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A2F10"/>
    <w:rsid w:val="00CB2AEA"/>
    <w:rsid w:val="00CD5BC1"/>
    <w:rsid w:val="00CF5E60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104</TotalTime>
  <Pages>12</Pages>
  <Words>2920</Words>
  <Characters>16649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92</cp:revision>
  <cp:lastPrinted>2013-04-22T06:21:00Z</cp:lastPrinted>
  <dcterms:created xsi:type="dcterms:W3CDTF">2017-07-05T09:00:00Z</dcterms:created>
  <dcterms:modified xsi:type="dcterms:W3CDTF">2017-07-07T07:10:00Z</dcterms:modified>
</cp:coreProperties>
</file>