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C85B8B" w:rsidP="003756DC">
      <w:pPr>
        <w:spacing w:before="360" w:after="360"/>
        <w:jc w:val="center"/>
        <w:rPr>
          <w:iCs/>
          <w:caps/>
          <w:color w:val="000000"/>
          <w:spacing w:val="-1"/>
        </w:rPr>
      </w:pPr>
      <w:r w:rsidRPr="00C85B8B">
        <w:rPr>
          <w:iCs/>
          <w:caps/>
          <w:color w:val="000000"/>
          <w:spacing w:val="-1"/>
        </w:rPr>
        <w:t>Иностранный язык (профессиональный)</w:t>
      </w:r>
      <w:bookmarkStart w:id="0" w:name="_GoBack"/>
      <w:bookmarkEnd w:id="0"/>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5B027F" w:rsidRPr="00EE00EB" w:rsidTr="00433AE4">
        <w:trPr>
          <w:trHeight w:val="148"/>
        </w:trPr>
        <w:tc>
          <w:tcPr>
            <w:tcW w:w="6072" w:type="dxa"/>
            <w:shd w:val="clear" w:color="auto" w:fill="auto"/>
          </w:tcPr>
          <w:p w:rsidR="005B027F" w:rsidRPr="00EE00EB" w:rsidRDefault="005B027F" w:rsidP="00433AE4">
            <w:pPr>
              <w:rPr>
                <w:b/>
              </w:rPr>
            </w:pPr>
            <w:r w:rsidRPr="00EE00EB">
              <w:rPr>
                <w:b/>
              </w:rPr>
              <w:t>Перечень сведений о рабочей программе модуля</w:t>
            </w:r>
          </w:p>
        </w:tc>
        <w:tc>
          <w:tcPr>
            <w:tcW w:w="4225" w:type="dxa"/>
            <w:shd w:val="clear" w:color="auto" w:fill="auto"/>
          </w:tcPr>
          <w:p w:rsidR="005B027F" w:rsidRPr="00EE00EB" w:rsidRDefault="005B027F" w:rsidP="00433AE4">
            <w:pPr>
              <w:jc w:val="center"/>
              <w:rPr>
                <w:b/>
              </w:rPr>
            </w:pPr>
            <w:r w:rsidRPr="00EE00EB">
              <w:rPr>
                <w:b/>
              </w:rPr>
              <w:t>Учетные данные</w:t>
            </w:r>
          </w:p>
        </w:tc>
      </w:tr>
      <w:tr w:rsidR="005B027F" w:rsidRPr="00EE00EB" w:rsidTr="00433AE4">
        <w:trPr>
          <w:trHeight w:val="332"/>
        </w:trPr>
        <w:tc>
          <w:tcPr>
            <w:tcW w:w="6072" w:type="dxa"/>
            <w:shd w:val="clear" w:color="auto" w:fill="auto"/>
          </w:tcPr>
          <w:p w:rsidR="005B027F" w:rsidRPr="000C7A42" w:rsidRDefault="005B027F" w:rsidP="00433AE4">
            <w:r w:rsidRPr="00EE00EB">
              <w:rPr>
                <w:b/>
              </w:rPr>
              <w:t>Модуль</w:t>
            </w:r>
            <w:r w:rsidRPr="00EF7DFE">
              <w:tab/>
            </w:r>
            <w:r>
              <w:t>М</w:t>
            </w:r>
            <w:proofErr w:type="gramStart"/>
            <w:r>
              <w:t>1</w:t>
            </w:r>
            <w:proofErr w:type="gramEnd"/>
            <w:r>
              <w:t>.3</w:t>
            </w:r>
          </w:p>
          <w:p w:rsidR="005B027F" w:rsidRPr="0063540B" w:rsidRDefault="005B027F" w:rsidP="00433AE4">
            <w:r w:rsidRPr="00BC718A">
              <w:t>Иностранный язык</w:t>
            </w:r>
          </w:p>
        </w:tc>
        <w:tc>
          <w:tcPr>
            <w:tcW w:w="4225" w:type="dxa"/>
            <w:shd w:val="clear" w:color="auto" w:fill="auto"/>
          </w:tcPr>
          <w:p w:rsidR="005B027F" w:rsidRPr="000C7A42" w:rsidRDefault="005B027F" w:rsidP="00433AE4">
            <w:pPr>
              <w:jc w:val="both"/>
            </w:pPr>
            <w:r w:rsidRPr="00EE00EB">
              <w:rPr>
                <w:b/>
              </w:rPr>
              <w:t>Код модуля</w:t>
            </w:r>
          </w:p>
          <w:p w:rsidR="005B027F" w:rsidRPr="0063540B" w:rsidRDefault="005B027F" w:rsidP="00433AE4">
            <w:r w:rsidRPr="00263A12">
              <w:t>1125245</w:t>
            </w:r>
          </w:p>
        </w:tc>
      </w:tr>
      <w:tr w:rsidR="005B027F" w:rsidRPr="00EE00EB" w:rsidTr="00433AE4">
        <w:trPr>
          <w:trHeight w:val="332"/>
        </w:trPr>
        <w:tc>
          <w:tcPr>
            <w:tcW w:w="6072" w:type="dxa"/>
            <w:shd w:val="clear" w:color="auto" w:fill="auto"/>
          </w:tcPr>
          <w:p w:rsidR="005B027F" w:rsidRPr="00EE00EB" w:rsidRDefault="005B027F" w:rsidP="00433AE4">
            <w:r w:rsidRPr="00EE00EB">
              <w:rPr>
                <w:b/>
              </w:rPr>
              <w:t>Образовательная программа</w:t>
            </w:r>
          </w:p>
          <w:p w:rsidR="005B027F" w:rsidRPr="003F40FD" w:rsidRDefault="005B027F" w:rsidP="00433AE4">
            <w:r w:rsidRPr="00472834">
              <w:rPr>
                <w:iCs/>
                <w:spacing w:val="-1"/>
              </w:rPr>
              <w:t>Программное обеспечение информационных систем</w:t>
            </w:r>
          </w:p>
        </w:tc>
        <w:tc>
          <w:tcPr>
            <w:tcW w:w="4225" w:type="dxa"/>
            <w:shd w:val="clear" w:color="auto" w:fill="auto"/>
          </w:tcPr>
          <w:p w:rsidR="005B027F" w:rsidRDefault="005B027F" w:rsidP="00433AE4">
            <w:pPr>
              <w:jc w:val="both"/>
            </w:pPr>
            <w:r w:rsidRPr="00EE00EB">
              <w:rPr>
                <w:b/>
              </w:rPr>
              <w:t>Код ОП</w:t>
            </w:r>
            <w:r w:rsidRPr="00C87D33">
              <w:rPr>
                <w:b/>
              </w:rPr>
              <w:tab/>
            </w:r>
            <w:r w:rsidRPr="00C87D33">
              <w:rPr>
                <w:b/>
              </w:rPr>
              <w:tab/>
            </w:r>
            <w:r w:rsidRPr="00472834">
              <w:t>09.04.03/0</w:t>
            </w:r>
            <w:r>
              <w:t>3</w:t>
            </w:r>
            <w:r w:rsidRPr="00472834">
              <w:t>.01</w:t>
            </w:r>
          </w:p>
          <w:p w:rsidR="005B027F" w:rsidRPr="003F40FD" w:rsidRDefault="005B027F" w:rsidP="00433AE4">
            <w:pPr>
              <w:jc w:val="both"/>
            </w:pPr>
            <w:r w:rsidRPr="00C87D33">
              <w:rPr>
                <w:b/>
              </w:rPr>
              <w:t>Учебный план</w:t>
            </w:r>
            <w:r w:rsidRPr="00C87D33">
              <w:rPr>
                <w:b/>
              </w:rPr>
              <w:tab/>
            </w:r>
            <w:r>
              <w:t>6488 (версия 1</w:t>
            </w:r>
            <w:r w:rsidRPr="00C87D33">
              <w:t>)</w:t>
            </w:r>
          </w:p>
        </w:tc>
      </w:tr>
      <w:tr w:rsidR="005B027F" w:rsidRPr="00EE00EB" w:rsidTr="00433AE4">
        <w:trPr>
          <w:trHeight w:val="332"/>
        </w:trPr>
        <w:tc>
          <w:tcPr>
            <w:tcW w:w="6072" w:type="dxa"/>
            <w:shd w:val="clear" w:color="auto" w:fill="auto"/>
          </w:tcPr>
          <w:p w:rsidR="005B027F" w:rsidRPr="00EE00EB" w:rsidRDefault="005B027F" w:rsidP="00433AE4">
            <w:pPr>
              <w:rPr>
                <w:b/>
              </w:rPr>
            </w:pPr>
            <w:r w:rsidRPr="00EE00EB">
              <w:rPr>
                <w:b/>
              </w:rPr>
              <w:t>Траектория образовательной программы (ТОП)</w:t>
            </w:r>
          </w:p>
        </w:tc>
        <w:tc>
          <w:tcPr>
            <w:tcW w:w="4225" w:type="dxa"/>
            <w:shd w:val="clear" w:color="auto" w:fill="auto"/>
          </w:tcPr>
          <w:p w:rsidR="005B027F" w:rsidRPr="000C7A42" w:rsidRDefault="005B027F" w:rsidP="00433AE4">
            <w:pPr>
              <w:jc w:val="both"/>
              <w:rPr>
                <w:b/>
              </w:rPr>
            </w:pPr>
            <w:r w:rsidRPr="000C7A42">
              <w:t>Без траекторий</w:t>
            </w:r>
          </w:p>
        </w:tc>
      </w:tr>
      <w:tr w:rsidR="005B027F" w:rsidRPr="00EE00EB" w:rsidTr="00433AE4">
        <w:trPr>
          <w:trHeight w:val="332"/>
        </w:trPr>
        <w:tc>
          <w:tcPr>
            <w:tcW w:w="6072" w:type="dxa"/>
            <w:shd w:val="clear" w:color="auto" w:fill="auto"/>
          </w:tcPr>
          <w:p w:rsidR="005B027F" w:rsidRPr="00EE00EB" w:rsidRDefault="005B027F" w:rsidP="00433AE4">
            <w:r w:rsidRPr="00EE00EB">
              <w:rPr>
                <w:b/>
              </w:rPr>
              <w:t>Направление подготовки</w:t>
            </w:r>
            <w:r w:rsidRPr="00EE00EB">
              <w:t xml:space="preserve"> </w:t>
            </w:r>
          </w:p>
          <w:p w:rsidR="005B027F" w:rsidRPr="00D31623" w:rsidRDefault="005B027F" w:rsidP="00433AE4">
            <w:r w:rsidRPr="00472834">
              <w:rPr>
                <w:iCs/>
                <w:spacing w:val="-1"/>
              </w:rPr>
              <w:t>Прикладная информатика</w:t>
            </w:r>
          </w:p>
        </w:tc>
        <w:tc>
          <w:tcPr>
            <w:tcW w:w="4225" w:type="dxa"/>
            <w:vMerge w:val="restart"/>
            <w:shd w:val="clear" w:color="auto" w:fill="auto"/>
          </w:tcPr>
          <w:p w:rsidR="005B027F" w:rsidRPr="00EE00EB" w:rsidRDefault="005B027F" w:rsidP="00433AE4">
            <w:pPr>
              <w:jc w:val="both"/>
            </w:pPr>
            <w:r w:rsidRPr="00EE00EB">
              <w:rPr>
                <w:b/>
              </w:rPr>
              <w:t>Код направления и уровня подготовки</w:t>
            </w:r>
            <w:r w:rsidRPr="00EE00EB">
              <w:t xml:space="preserve"> </w:t>
            </w:r>
          </w:p>
          <w:p w:rsidR="005B027F" w:rsidRPr="00131F6B" w:rsidRDefault="005B027F" w:rsidP="00433AE4">
            <w:pPr>
              <w:jc w:val="both"/>
            </w:pPr>
            <w:r w:rsidRPr="00131F6B">
              <w:t>09.0</w:t>
            </w:r>
            <w:r w:rsidRPr="0090227B">
              <w:t>4</w:t>
            </w:r>
            <w:r>
              <w:t>.03</w:t>
            </w:r>
          </w:p>
        </w:tc>
      </w:tr>
      <w:tr w:rsidR="005B027F" w:rsidRPr="00EE00EB" w:rsidTr="00433AE4">
        <w:trPr>
          <w:trHeight w:val="332"/>
        </w:trPr>
        <w:tc>
          <w:tcPr>
            <w:tcW w:w="6072" w:type="dxa"/>
            <w:shd w:val="clear" w:color="auto" w:fill="auto"/>
          </w:tcPr>
          <w:p w:rsidR="005B027F" w:rsidRPr="00EE00EB" w:rsidRDefault="005B027F" w:rsidP="00433AE4">
            <w:r w:rsidRPr="00EE00EB">
              <w:rPr>
                <w:b/>
              </w:rPr>
              <w:t>Уровень подготовки</w:t>
            </w:r>
            <w:r w:rsidRPr="00EE00EB">
              <w:t xml:space="preserve"> </w:t>
            </w:r>
          </w:p>
          <w:p w:rsidR="005B027F" w:rsidRPr="00131F6B" w:rsidRDefault="005B027F" w:rsidP="00433AE4">
            <w:r>
              <w:rPr>
                <w:iCs/>
                <w:spacing w:val="-1"/>
              </w:rPr>
              <w:t>магистратура</w:t>
            </w:r>
          </w:p>
        </w:tc>
        <w:tc>
          <w:tcPr>
            <w:tcW w:w="4225" w:type="dxa"/>
            <w:vMerge/>
            <w:shd w:val="clear" w:color="auto" w:fill="auto"/>
          </w:tcPr>
          <w:p w:rsidR="005B027F" w:rsidRPr="00EE00EB" w:rsidRDefault="005B027F" w:rsidP="00433AE4">
            <w:pPr>
              <w:jc w:val="both"/>
            </w:pPr>
          </w:p>
        </w:tc>
      </w:tr>
      <w:tr w:rsidR="005B027F" w:rsidRPr="00EE00EB" w:rsidTr="00433AE4">
        <w:trPr>
          <w:trHeight w:val="332"/>
        </w:trPr>
        <w:tc>
          <w:tcPr>
            <w:tcW w:w="6072" w:type="dxa"/>
            <w:shd w:val="clear" w:color="auto" w:fill="auto"/>
          </w:tcPr>
          <w:p w:rsidR="005B027F" w:rsidRPr="00EE00EB" w:rsidRDefault="005B027F" w:rsidP="00433AE4">
            <w:pPr>
              <w:rPr>
                <w:b/>
              </w:rPr>
            </w:pPr>
            <w:r w:rsidRPr="00EE00EB">
              <w:rPr>
                <w:b/>
              </w:rPr>
              <w:t>ФГОС</w:t>
            </w:r>
            <w:r>
              <w:rPr>
                <w:b/>
              </w:rPr>
              <w:t xml:space="preserve"> ВО</w:t>
            </w:r>
          </w:p>
        </w:tc>
        <w:tc>
          <w:tcPr>
            <w:tcW w:w="4225" w:type="dxa"/>
            <w:shd w:val="clear" w:color="auto" w:fill="auto"/>
          </w:tcPr>
          <w:p w:rsidR="005B027F" w:rsidRPr="0058684D" w:rsidRDefault="005B027F" w:rsidP="00433AE4">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140</w:t>
            </w:r>
            <w:r>
              <w:t>4</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1" w:name="_Toc463805971"/>
      <w:r w:rsidR="00817297" w:rsidRPr="00E549DF">
        <w:rPr>
          <w:b/>
          <w:bCs/>
          <w:caps/>
        </w:rPr>
        <w:instrText>ОБЩАЯ ХАРАКТЕРИСТИКА ДИСЦИПЛИНЫ</w:instrText>
      </w:r>
      <w:bookmarkEnd w:id="1"/>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2" w:name="_Toc463805972"/>
      <w:r w:rsidR="00CF48B9" w:rsidRPr="00EA1D81">
        <w:rPr>
          <w:b/>
          <w:iCs/>
        </w:rPr>
        <w:instrText>Аннотация содержания дисциплины</w:instrText>
      </w:r>
      <w:bookmarkEnd w:id="2"/>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110F24" w:rsidRPr="00110F24">
        <w:t>Иностранный язык (профессиональный)</w:t>
      </w:r>
      <w:r>
        <w:t>»</w:t>
      </w:r>
      <w:r w:rsidR="002B1FA7">
        <w:t xml:space="preserve"> </w:t>
      </w:r>
      <w:r w:rsidRPr="00806DB5">
        <w:t>входит</w:t>
      </w:r>
      <w:r w:rsidR="002B1FA7">
        <w:t xml:space="preserve"> </w:t>
      </w:r>
      <w:r w:rsidRPr="00806DB5">
        <w:t>в</w:t>
      </w:r>
      <w:r w:rsidR="002B1FA7">
        <w:t xml:space="preserve"> </w:t>
      </w:r>
      <w:r w:rsidR="00110F24">
        <w:t>базовую</w:t>
      </w:r>
      <w:r w:rsidR="002B1FA7">
        <w:t xml:space="preserve"> </w:t>
      </w:r>
      <w:r w:rsidRPr="00806DB5">
        <w:t>часть</w:t>
      </w:r>
      <w:r w:rsidR="002B1FA7">
        <w:t xml:space="preserve">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110F24" w:rsidRPr="00110F24">
        <w:t>Иностранный язык</w:t>
      </w:r>
      <w:r>
        <w:t>».</w:t>
      </w:r>
      <w:r w:rsidR="002B1FA7">
        <w:t xml:space="preserve"> </w:t>
      </w:r>
    </w:p>
    <w:p w:rsidR="00C46027" w:rsidRDefault="00C46027" w:rsidP="00C46027"/>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3" w:name="_Toc463805973"/>
      <w:r w:rsidR="00CF48B9" w:rsidRPr="00932CF7">
        <w:rPr>
          <w:b/>
          <w:iCs/>
        </w:rPr>
        <w:instrText>Язык реализации программы</w:instrText>
      </w:r>
      <w:bookmarkEnd w:id="3"/>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4" w:name="_Toc463805974"/>
      <w:r w:rsidR="00CF48B9" w:rsidRPr="00454B75">
        <w:rPr>
          <w:b/>
          <w:iCs/>
        </w:rPr>
        <w:instrText>Планируемые результаты обучения по дисциплине</w:instrText>
      </w:r>
      <w:bookmarkEnd w:id="4"/>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644DC4" w:rsidRPr="00456ADF" w:rsidTr="00644DC4">
        <w:tc>
          <w:tcPr>
            <w:tcW w:w="10065" w:type="dxa"/>
          </w:tcPr>
          <w:p w:rsidR="00644DC4" w:rsidRPr="00456ADF" w:rsidRDefault="00423FCC" w:rsidP="00D91C5F">
            <w:pPr>
              <w:spacing w:before="60" w:after="60"/>
              <w:jc w:val="both"/>
              <w:rPr>
                <w:bCs/>
              </w:rPr>
            </w:pPr>
            <w:r w:rsidRPr="00456ADF">
              <w:rPr>
                <w:b/>
                <w:bCs/>
              </w:rPr>
              <w:t>ОПК-</w:t>
            </w:r>
            <w:r>
              <w:rPr>
                <w:b/>
                <w:bCs/>
              </w:rPr>
              <w:t>1</w:t>
            </w:r>
            <w:r>
              <w:rPr>
                <w:bCs/>
              </w:rPr>
              <w:t xml:space="preserve">: </w:t>
            </w:r>
            <w:r w:rsidRPr="001F0EEE">
              <w:rPr>
                <w:bCs/>
              </w:rPr>
              <w:t xml:space="preserve">способность  к  коммуникации в устной и письменной </w:t>
            </w:r>
            <w:proofErr w:type="gramStart"/>
            <w:r w:rsidRPr="001F0EEE">
              <w:rPr>
                <w:bCs/>
              </w:rPr>
              <w:t>формах</w:t>
            </w:r>
            <w:proofErr w:type="gramEnd"/>
            <w:r w:rsidRPr="001F0EEE">
              <w:rPr>
                <w:bCs/>
              </w:rPr>
              <w:t xml:space="preserve"> на русском  и  иностранном  языках  для решения задач профессиональной деятельности</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E81613" w:rsidRPr="006A713F" w:rsidRDefault="00E81613" w:rsidP="00766558">
      <w:pPr>
        <w:keepNext/>
        <w:keepLines/>
        <w:ind w:left="567"/>
        <w:jc w:val="both"/>
      </w:pPr>
      <w:r w:rsidRPr="00CF2BC0">
        <w:rPr>
          <w:b/>
        </w:rPr>
        <w:t>Знать</w:t>
      </w:r>
      <w:r w:rsidRPr="006A713F">
        <w:t>:</w:t>
      </w:r>
    </w:p>
    <w:p w:rsidR="00D14092" w:rsidRPr="00D14092" w:rsidRDefault="00D14092" w:rsidP="00E81613">
      <w:pPr>
        <w:pStyle w:val="a6"/>
        <w:numPr>
          <w:ilvl w:val="0"/>
          <w:numId w:val="18"/>
        </w:numPr>
        <w:jc w:val="both"/>
        <w:rPr>
          <w:spacing w:val="-5"/>
        </w:rPr>
      </w:pPr>
      <w:r>
        <w:t>Иностранный</w:t>
      </w:r>
      <w:r w:rsidRPr="00965D5B">
        <w:t xml:space="preserve"> язык для проведения рабочих переговоров и составления деловых до</w:t>
      </w:r>
      <w:r>
        <w:t>кументов</w:t>
      </w:r>
    </w:p>
    <w:p w:rsidR="00D14092" w:rsidRDefault="00D14092" w:rsidP="00E81613">
      <w:pPr>
        <w:pStyle w:val="a6"/>
        <w:numPr>
          <w:ilvl w:val="0"/>
          <w:numId w:val="18"/>
        </w:numPr>
        <w:jc w:val="both"/>
        <w:rPr>
          <w:spacing w:val="-5"/>
        </w:rPr>
      </w:pPr>
      <w:r>
        <w:t xml:space="preserve">Иностранный язык </w:t>
      </w:r>
      <w:r w:rsidRPr="00965D5B">
        <w:t>для составления отчета, написания обзора, статьи по результатам исследований</w:t>
      </w:r>
      <w:r>
        <w:rPr>
          <w:spacing w:val="-5"/>
        </w:rPr>
        <w:t xml:space="preserve"> </w:t>
      </w:r>
    </w:p>
    <w:p w:rsidR="00E81613" w:rsidRPr="006A713F" w:rsidRDefault="00E81613" w:rsidP="00E81613">
      <w:pPr>
        <w:keepNext/>
        <w:keepLines/>
        <w:ind w:left="567"/>
        <w:jc w:val="both"/>
      </w:pPr>
      <w:r w:rsidRPr="00CF2BC0">
        <w:rPr>
          <w:b/>
        </w:rPr>
        <w:t>Уметь</w:t>
      </w:r>
      <w:r w:rsidRPr="006A713F">
        <w:t>:</w:t>
      </w:r>
    </w:p>
    <w:p w:rsidR="003E1008" w:rsidRPr="003E1008" w:rsidRDefault="003E1008" w:rsidP="00E81613">
      <w:pPr>
        <w:pStyle w:val="a6"/>
        <w:numPr>
          <w:ilvl w:val="0"/>
          <w:numId w:val="19"/>
        </w:numPr>
        <w:jc w:val="both"/>
        <w:rPr>
          <w:spacing w:val="-5"/>
        </w:rPr>
      </w:pPr>
      <w:r>
        <w:t>Ч</w:t>
      </w:r>
      <w:r w:rsidRPr="00965D5B">
        <w:t xml:space="preserve">итать на </w:t>
      </w:r>
      <w:r>
        <w:t>иностранном</w:t>
      </w:r>
      <w:r w:rsidRPr="00965D5B">
        <w:t xml:space="preserve"> языке литературу по специальности с целью поиска информации без словаря</w:t>
      </w:r>
    </w:p>
    <w:p w:rsidR="003E1008" w:rsidRPr="003E1008" w:rsidRDefault="003E1008" w:rsidP="00E81613">
      <w:pPr>
        <w:pStyle w:val="a6"/>
        <w:numPr>
          <w:ilvl w:val="0"/>
          <w:numId w:val="19"/>
        </w:numPr>
        <w:jc w:val="both"/>
        <w:rPr>
          <w:spacing w:val="-5"/>
        </w:rPr>
      </w:pPr>
      <w:r>
        <w:t>П</w:t>
      </w:r>
      <w:r w:rsidRPr="00965D5B">
        <w:t>ереводить тексты по специальности со словарем</w:t>
      </w:r>
    </w:p>
    <w:p w:rsidR="003E1008" w:rsidRPr="003E1008" w:rsidRDefault="003E1008" w:rsidP="00E81613">
      <w:pPr>
        <w:pStyle w:val="a6"/>
        <w:numPr>
          <w:ilvl w:val="0"/>
          <w:numId w:val="19"/>
        </w:numPr>
        <w:jc w:val="both"/>
        <w:rPr>
          <w:spacing w:val="-5"/>
        </w:rPr>
      </w:pPr>
      <w:r>
        <w:t>П</w:t>
      </w:r>
      <w:r w:rsidRPr="00965D5B">
        <w:t xml:space="preserve">рименять </w:t>
      </w:r>
      <w:r>
        <w:t>иностранный</w:t>
      </w:r>
      <w:r w:rsidRPr="00965D5B">
        <w:t xml:space="preserve"> язык при проведении рабочих переговоров и составлении деловых документов</w:t>
      </w:r>
    </w:p>
    <w:p w:rsidR="00E81613" w:rsidRPr="000A46D8" w:rsidRDefault="00E81613" w:rsidP="00E81613">
      <w:pPr>
        <w:ind w:left="567"/>
        <w:jc w:val="both"/>
        <w:rPr>
          <w:spacing w:val="-5"/>
        </w:rPr>
      </w:pPr>
    </w:p>
    <w:p w:rsidR="00E81613" w:rsidRPr="006A713F" w:rsidRDefault="00E81613" w:rsidP="00E81613">
      <w:pPr>
        <w:ind w:left="567"/>
        <w:jc w:val="both"/>
      </w:pPr>
      <w:r w:rsidRPr="00CF2BC0">
        <w:rPr>
          <w:b/>
        </w:rPr>
        <w:t>Владеть</w:t>
      </w:r>
      <w:r w:rsidRPr="006A713F">
        <w:t>:</w:t>
      </w:r>
    </w:p>
    <w:p w:rsidR="00D91D19" w:rsidRPr="00D91D19" w:rsidRDefault="00D91D19" w:rsidP="00E81613">
      <w:pPr>
        <w:pStyle w:val="a6"/>
        <w:numPr>
          <w:ilvl w:val="0"/>
          <w:numId w:val="19"/>
        </w:numPr>
        <w:jc w:val="both"/>
        <w:rPr>
          <w:spacing w:val="-5"/>
        </w:rPr>
      </w:pPr>
      <w:r>
        <w:rPr>
          <w:spacing w:val="-5"/>
        </w:rPr>
        <w:t>Иностранным</w:t>
      </w:r>
      <w:r w:rsidRPr="004F3968">
        <w:t xml:space="preserve"> я</w:t>
      </w:r>
      <w:r w:rsidRPr="00965D5B">
        <w:t>зыком для проведения научного исследования в области профессиональной деятельности</w:t>
      </w:r>
    </w:p>
    <w:p w:rsidR="00D91D19" w:rsidRPr="00D91D19" w:rsidRDefault="00D91D19" w:rsidP="00E81613">
      <w:pPr>
        <w:pStyle w:val="a6"/>
        <w:numPr>
          <w:ilvl w:val="0"/>
          <w:numId w:val="19"/>
        </w:numPr>
        <w:jc w:val="both"/>
        <w:rPr>
          <w:spacing w:val="-5"/>
        </w:rPr>
      </w:pPr>
      <w:r>
        <w:t>Иностранным</w:t>
      </w:r>
      <w:r w:rsidRPr="00965D5B">
        <w:t xml:space="preserve"> языком как средством </w:t>
      </w:r>
      <w:r>
        <w:t>социального и бытового</w:t>
      </w:r>
      <w:r w:rsidRPr="00965D5B">
        <w:t xml:space="preserve"> общения</w:t>
      </w:r>
    </w:p>
    <w:p w:rsidR="00D91D19" w:rsidRPr="00D91D19" w:rsidRDefault="00D91D19" w:rsidP="00E81613">
      <w:pPr>
        <w:pStyle w:val="a6"/>
        <w:numPr>
          <w:ilvl w:val="0"/>
          <w:numId w:val="19"/>
        </w:numPr>
        <w:jc w:val="both"/>
        <w:rPr>
          <w:spacing w:val="-5"/>
        </w:rPr>
      </w:pPr>
      <w:r>
        <w:t>Иностранным</w:t>
      </w:r>
      <w:r w:rsidRPr="00965D5B">
        <w:t xml:space="preserve"> языком для составления научно-исследовательского отчета, написания обзора, статьи по результатам исследований.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lastRenderedPageBreak/>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A57E24" w:rsidP="00D756AF">
            <w:pPr>
              <w:snapToGrid w:val="0"/>
              <w:jc w:val="center"/>
              <w:rPr>
                <w:bCs/>
                <w:sz w:val="20"/>
                <w:szCs w:val="20"/>
              </w:rPr>
            </w:pPr>
            <w:r>
              <w:rPr>
                <w:bCs/>
                <w:sz w:val="20"/>
                <w:szCs w:val="20"/>
              </w:rPr>
              <w:t>1</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rPr>
                <w:b/>
                <w:bCs/>
              </w:rPr>
            </w:pPr>
            <w:r>
              <w:rPr>
                <w:b/>
                <w:bCs/>
              </w:rPr>
              <w:t>72</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rPr>
                <w:b/>
                <w:bCs/>
              </w:rPr>
            </w:pPr>
            <w:r>
              <w:rPr>
                <w:b/>
                <w:bCs/>
              </w:rPr>
              <w:t>72</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72</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766558" w:rsidP="003E69AE">
            <w:pPr>
              <w:snapToGrid w:val="0"/>
              <w:jc w:val="center"/>
              <w:rPr>
                <w:lang w:val="en-US"/>
              </w:rP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pPr>
            <w:r>
              <w:t>72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pPr>
            <w:r>
              <w:t>72</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pPr>
            <w:r>
              <w:t>72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A5369F">
            <w:pPr>
              <w:snapToGrid w:val="0"/>
              <w:jc w:val="center"/>
              <w:rPr>
                <w:b/>
                <w:bCs/>
              </w:rPr>
            </w:pPr>
            <w:r>
              <w:rPr>
                <w:b/>
                <w:bCs/>
              </w:rPr>
              <w:t>32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FD4FAA" w:rsidP="00FD4FAA">
            <w:pPr>
              <w:snapToGrid w:val="0"/>
              <w:jc w:val="center"/>
              <w:rPr>
                <w:b/>
                <w:bCs/>
                <w:lang w:val="en-US"/>
              </w:rPr>
            </w:pPr>
            <w:r>
              <w:rPr>
                <w:b/>
                <w:bCs/>
              </w:rPr>
              <w:t>10</w:t>
            </w:r>
            <w:r w:rsidR="00766558">
              <w:rPr>
                <w:b/>
                <w:bCs/>
                <w:lang w:val="en-US"/>
              </w:rPr>
              <w:t>.</w:t>
            </w:r>
            <w:r>
              <w:rPr>
                <w:b/>
                <w:bCs/>
              </w:rPr>
              <w:t>8</w:t>
            </w:r>
            <w:r w:rsidR="00766558">
              <w:rPr>
                <w:b/>
                <w:bCs/>
                <w:lang w:val="en-US"/>
              </w:rPr>
              <w:t>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32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FD4FAA" w:rsidP="00E80A6C">
            <w:pPr>
              <w:snapToGrid w:val="0"/>
              <w:jc w:val="center"/>
            </w:pPr>
            <w:r>
              <w:t>83.05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rsidRPr="006410E5">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snapToGrid w:val="0"/>
              <w:jc w:val="center"/>
              <w:rPr>
                <w:b/>
                <w:sz w:val="22"/>
                <w:szCs w:val="22"/>
              </w:rPr>
            </w:pPr>
            <w:r w:rsidRPr="006410E5">
              <w:rPr>
                <w:b/>
                <w:sz w:val="22"/>
                <w:szCs w:val="22"/>
              </w:rPr>
              <w:t>Р</w:t>
            </w:r>
            <w:proofErr w:type="gramStart"/>
            <w:r w:rsidRPr="006410E5">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BB444C" w:rsidP="001349A8">
            <w:pPr>
              <w:shd w:val="clear" w:color="auto" w:fill="FFFFFF"/>
              <w:snapToGrid w:val="0"/>
              <w:jc w:val="center"/>
              <w:rPr>
                <w:sz w:val="22"/>
                <w:szCs w:val="22"/>
              </w:rPr>
            </w:pPr>
            <w:proofErr w:type="spellStart"/>
            <w:r w:rsidRPr="00BB444C">
              <w:rPr>
                <w:sz w:val="22"/>
                <w:szCs w:val="22"/>
              </w:rPr>
              <w:t>General</w:t>
            </w:r>
            <w:proofErr w:type="spellEnd"/>
            <w:r w:rsidRPr="00BB444C">
              <w:rPr>
                <w:sz w:val="22"/>
                <w:szCs w:val="22"/>
              </w:rPr>
              <w:t xml:space="preserve"> </w:t>
            </w:r>
            <w:proofErr w:type="spellStart"/>
            <w:r w:rsidRPr="00BB444C">
              <w:rPr>
                <w:sz w:val="22"/>
                <w:szCs w:val="22"/>
              </w:rPr>
              <w:t>conversation</w:t>
            </w:r>
            <w:proofErr w:type="spellEnd"/>
            <w:r w:rsidRPr="00BB444C">
              <w:rPr>
                <w:sz w:val="22"/>
                <w:szCs w:val="22"/>
              </w:rPr>
              <w:t xml:space="preserve"> </w:t>
            </w:r>
            <w:proofErr w:type="spellStart"/>
            <w:r w:rsidRPr="00BB444C">
              <w:rPr>
                <w:sz w:val="22"/>
                <w:szCs w:val="22"/>
              </w:rPr>
              <w:t>and</w:t>
            </w:r>
            <w:proofErr w:type="spellEnd"/>
            <w:r w:rsidRPr="00BB444C">
              <w:rPr>
                <w:sz w:val="22"/>
                <w:szCs w:val="22"/>
              </w:rPr>
              <w:t xml:space="preserve"> </w:t>
            </w:r>
            <w:proofErr w:type="spellStart"/>
            <w:r w:rsidRPr="00BB444C">
              <w:rPr>
                <w:sz w:val="22"/>
                <w:szCs w:val="22"/>
              </w:rPr>
              <w:t>socializing</w:t>
            </w:r>
            <w:proofErr w:type="spellEnd"/>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AB4CC1" w:rsidRPr="001349A8" w:rsidRDefault="00BB444C" w:rsidP="001349A8">
            <w:pPr>
              <w:snapToGrid w:val="0"/>
              <w:jc w:val="both"/>
              <w:rPr>
                <w:sz w:val="22"/>
                <w:szCs w:val="22"/>
              </w:rPr>
            </w:pPr>
            <w:r w:rsidRPr="00BB444C">
              <w:rPr>
                <w:sz w:val="22"/>
                <w:szCs w:val="22"/>
              </w:rPr>
              <w:t>Знакомство. Представление коллег. Установление контактов. Повседневное общение.</w:t>
            </w:r>
            <w:r>
              <w:rPr>
                <w:sz w:val="22"/>
                <w:szCs w:val="22"/>
              </w:rPr>
              <w:t xml:space="preserve"> </w:t>
            </w:r>
            <w:r w:rsidRPr="00BB444C">
              <w:rPr>
                <w:sz w:val="22"/>
                <w:szCs w:val="22"/>
              </w:rPr>
              <w:t>Типы вопросов. Светский разговор.</w:t>
            </w:r>
            <w:r>
              <w:rPr>
                <w:sz w:val="22"/>
                <w:szCs w:val="22"/>
              </w:rPr>
              <w:t xml:space="preserve"> </w:t>
            </w:r>
            <w:r w:rsidRPr="00BB444C">
              <w:rPr>
                <w:sz w:val="22"/>
                <w:szCs w:val="22"/>
              </w:rPr>
              <w:t>Договоренности.</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762A38">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BB444C" w:rsidRDefault="00BB444C" w:rsidP="001349A8">
            <w:pPr>
              <w:shd w:val="clear" w:color="auto" w:fill="FFFFFF"/>
              <w:snapToGrid w:val="0"/>
              <w:jc w:val="center"/>
              <w:rPr>
                <w:sz w:val="22"/>
                <w:szCs w:val="22"/>
                <w:lang w:val="en-US"/>
              </w:rPr>
            </w:pPr>
            <w:r w:rsidRPr="00BB444C">
              <w:rPr>
                <w:sz w:val="22"/>
                <w:szCs w:val="22"/>
                <w:lang w:val="en-US"/>
              </w:rPr>
              <w:t>Communication in the sphere of science and technology</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BB444C" w:rsidP="00BB444C">
            <w:pPr>
              <w:snapToGrid w:val="0"/>
              <w:jc w:val="both"/>
              <w:rPr>
                <w:sz w:val="22"/>
                <w:szCs w:val="22"/>
              </w:rPr>
            </w:pPr>
            <w:r w:rsidRPr="00BB444C">
              <w:rPr>
                <w:sz w:val="22"/>
                <w:szCs w:val="22"/>
              </w:rPr>
              <w:t>Выбор научных статей, в зависимости от профессиональных и научных интересов. Перевод статей. Составление те</w:t>
            </w:r>
            <w:r>
              <w:rPr>
                <w:sz w:val="22"/>
                <w:szCs w:val="22"/>
              </w:rPr>
              <w:t>рминологических словарей и глос</w:t>
            </w:r>
            <w:r w:rsidRPr="00BB444C">
              <w:rPr>
                <w:sz w:val="22"/>
                <w:szCs w:val="22"/>
              </w:rPr>
              <w:t>сария научной речи.</w:t>
            </w:r>
            <w:r>
              <w:rPr>
                <w:sz w:val="22"/>
                <w:szCs w:val="22"/>
              </w:rPr>
              <w:t xml:space="preserve"> </w:t>
            </w:r>
            <w:r w:rsidRPr="00BB444C">
              <w:rPr>
                <w:sz w:val="22"/>
                <w:szCs w:val="22"/>
              </w:rPr>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r>
              <w:rPr>
                <w:sz w:val="22"/>
                <w:szCs w:val="22"/>
              </w:rPr>
              <w:t xml:space="preserve"> </w:t>
            </w:r>
            <w:r w:rsidRPr="00BB444C">
              <w:rPr>
                <w:sz w:val="22"/>
                <w:szCs w:val="22"/>
              </w:rPr>
              <w:t>Изучение языка презентаций. Изучение процедуры ведения презентаций. Подготовка презентаций.</w:t>
            </w:r>
            <w:r>
              <w:rPr>
                <w:sz w:val="22"/>
                <w:szCs w:val="22"/>
              </w:rPr>
              <w:t xml:space="preserve"> </w:t>
            </w:r>
            <w:r w:rsidRPr="00BB444C">
              <w:rPr>
                <w:sz w:val="22"/>
                <w:szCs w:val="22"/>
              </w:rPr>
              <w:t>Организация и проведение конференций. Выступление с докладо</w:t>
            </w:r>
            <w:r>
              <w:rPr>
                <w:sz w:val="22"/>
                <w:szCs w:val="22"/>
              </w:rPr>
              <w:t>м. Организация обсуждения докла</w:t>
            </w:r>
            <w:r w:rsidRPr="00BB444C">
              <w:rPr>
                <w:sz w:val="22"/>
                <w:szCs w:val="22"/>
              </w:rPr>
              <w:t>дов.</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r w:rsidR="00762A38">
              <w:rPr>
                <w:b/>
                <w:sz w:val="22"/>
                <w:szCs w:val="22"/>
              </w:rPr>
              <w:t>3</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BB444C" w:rsidP="001349A8">
            <w:pPr>
              <w:shd w:val="clear" w:color="auto" w:fill="FFFFFF"/>
              <w:snapToGrid w:val="0"/>
              <w:jc w:val="center"/>
              <w:rPr>
                <w:sz w:val="22"/>
                <w:szCs w:val="22"/>
              </w:rPr>
            </w:pPr>
            <w:proofErr w:type="spellStart"/>
            <w:r w:rsidRPr="00BB444C">
              <w:rPr>
                <w:sz w:val="22"/>
                <w:szCs w:val="22"/>
              </w:rPr>
              <w:t>Academic</w:t>
            </w:r>
            <w:proofErr w:type="spellEnd"/>
            <w:r w:rsidRPr="00BB444C">
              <w:rPr>
                <w:sz w:val="22"/>
                <w:szCs w:val="22"/>
              </w:rPr>
              <w:t xml:space="preserve"> </w:t>
            </w:r>
            <w:proofErr w:type="spellStart"/>
            <w:r w:rsidRPr="00BB444C">
              <w:rPr>
                <w:sz w:val="22"/>
                <w:szCs w:val="22"/>
              </w:rPr>
              <w:t>writing</w:t>
            </w:r>
            <w:proofErr w:type="spellEnd"/>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BB444C" w:rsidP="001349A8">
            <w:pPr>
              <w:jc w:val="both"/>
              <w:rPr>
                <w:sz w:val="22"/>
                <w:szCs w:val="22"/>
              </w:rPr>
            </w:pPr>
            <w:r w:rsidRPr="00BB444C">
              <w:rPr>
                <w:sz w:val="22"/>
                <w:szCs w:val="22"/>
              </w:rPr>
              <w:t xml:space="preserve">Грамматические конструкции, клише научной </w:t>
            </w:r>
            <w:proofErr w:type="gramStart"/>
            <w:r w:rsidRPr="00BB444C">
              <w:rPr>
                <w:sz w:val="22"/>
                <w:szCs w:val="22"/>
              </w:rPr>
              <w:t>ре-</w:t>
            </w:r>
            <w:proofErr w:type="spellStart"/>
            <w:r w:rsidRPr="00BB444C">
              <w:rPr>
                <w:sz w:val="22"/>
                <w:szCs w:val="22"/>
              </w:rPr>
              <w:t>чи</w:t>
            </w:r>
            <w:proofErr w:type="spellEnd"/>
            <w:proofErr w:type="gramEnd"/>
            <w:r w:rsidRPr="00BB444C">
              <w:rPr>
                <w:sz w:val="22"/>
                <w:szCs w:val="22"/>
              </w:rPr>
              <w:t>, лексические трудности</w:t>
            </w:r>
            <w:r>
              <w:rPr>
                <w:sz w:val="22"/>
                <w:szCs w:val="22"/>
              </w:rP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35"/>
        <w:gridCol w:w="553"/>
        <w:gridCol w:w="420"/>
        <w:gridCol w:w="481"/>
        <w:gridCol w:w="426"/>
        <w:gridCol w:w="429"/>
        <w:gridCol w:w="420"/>
        <w:gridCol w:w="543"/>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3</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0D17AA">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5"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7"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0D17AA">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2"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8"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tcPr>
          <w:p w:rsidR="000D17AA" w:rsidRPr="000D17AA" w:rsidRDefault="000D17AA" w:rsidP="003F48BB">
            <w:pPr>
              <w:rPr>
                <w:sz w:val="16"/>
                <w:szCs w:val="16"/>
              </w:rPr>
            </w:pPr>
            <w:proofErr w:type="spellStart"/>
            <w:r w:rsidRPr="000D17AA">
              <w:rPr>
                <w:sz w:val="16"/>
                <w:szCs w:val="16"/>
              </w:rPr>
              <w:t>General</w:t>
            </w:r>
            <w:proofErr w:type="spellEnd"/>
            <w:r w:rsidRPr="000D17AA">
              <w:rPr>
                <w:sz w:val="16"/>
                <w:szCs w:val="16"/>
              </w:rPr>
              <w:t xml:space="preserve"> </w:t>
            </w:r>
            <w:proofErr w:type="spellStart"/>
            <w:r w:rsidRPr="000D17AA">
              <w:rPr>
                <w:sz w:val="16"/>
                <w:szCs w:val="16"/>
              </w:rPr>
              <w:t>conversation</w:t>
            </w:r>
            <w:proofErr w:type="spellEnd"/>
            <w:r w:rsidRPr="000D17AA">
              <w:rPr>
                <w:sz w:val="16"/>
                <w:szCs w:val="16"/>
              </w:rPr>
              <w:t xml:space="preserve"> </w:t>
            </w:r>
            <w:proofErr w:type="spellStart"/>
            <w:r w:rsidRPr="000D17AA">
              <w:rPr>
                <w:sz w:val="16"/>
                <w:szCs w:val="16"/>
              </w:rPr>
              <w:t>and</w:t>
            </w:r>
            <w:proofErr w:type="spellEnd"/>
            <w:r w:rsidRPr="000D17AA">
              <w:rPr>
                <w:sz w:val="16"/>
                <w:szCs w:val="16"/>
              </w:rPr>
              <w:t xml:space="preserve"> </w:t>
            </w:r>
            <w:proofErr w:type="spellStart"/>
            <w:r w:rsidRPr="000D17AA">
              <w:rPr>
                <w:sz w:val="16"/>
                <w:szCs w:val="16"/>
              </w:rPr>
              <w:t>socializing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33</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24</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24</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9</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68"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tcPr>
          <w:p w:rsidR="000D17AA" w:rsidRPr="000D17AA" w:rsidRDefault="000D17AA" w:rsidP="003F48BB">
            <w:pPr>
              <w:rPr>
                <w:sz w:val="16"/>
                <w:szCs w:val="16"/>
                <w:lang w:val="en-US"/>
              </w:rPr>
            </w:pPr>
            <w:r w:rsidRPr="000D17AA">
              <w:rPr>
                <w:sz w:val="16"/>
                <w:szCs w:val="16"/>
                <w:lang w:val="en-US"/>
              </w:rPr>
              <w:t>Communication in the sphere of science and technology</w:t>
            </w:r>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57</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40</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40</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17</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14</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tcPr>
          <w:p w:rsidR="000D17AA" w:rsidRPr="000D17AA" w:rsidRDefault="000D17AA" w:rsidP="003F48BB">
            <w:pPr>
              <w:rPr>
                <w:sz w:val="16"/>
                <w:szCs w:val="16"/>
              </w:rPr>
            </w:pPr>
            <w:proofErr w:type="spellStart"/>
            <w:r w:rsidRPr="000D17AA">
              <w:rPr>
                <w:sz w:val="16"/>
                <w:szCs w:val="16"/>
              </w:rPr>
              <w:t>Academic</w:t>
            </w:r>
            <w:proofErr w:type="spellEnd"/>
            <w:r w:rsidRPr="000D17AA">
              <w:rPr>
                <w:sz w:val="16"/>
                <w:szCs w:val="16"/>
              </w:rPr>
              <w:t xml:space="preserve"> </w:t>
            </w:r>
            <w:proofErr w:type="spellStart"/>
            <w:r w:rsidRPr="000D17AA">
              <w:rPr>
                <w:sz w:val="16"/>
                <w:szCs w:val="16"/>
              </w:rPr>
              <w:t>writing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8</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8</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6</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3</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4028FA" w:rsidRPr="003C3315" w:rsidTr="000D17AA">
        <w:trPr>
          <w:trHeight w:val="209"/>
          <w:jc w:val="center"/>
        </w:trPr>
        <w:tc>
          <w:tcPr>
            <w:tcW w:w="89" w:type="pct"/>
            <w:shd w:val="clear" w:color="auto" w:fill="auto"/>
            <w:noWrap/>
            <w:vAlign w:val="center"/>
          </w:tcPr>
          <w:p w:rsidR="004028FA" w:rsidRPr="003C3315" w:rsidRDefault="004028FA" w:rsidP="003E69AE">
            <w:pPr>
              <w:widowControl w:val="0"/>
              <w:autoSpaceDE w:val="0"/>
              <w:autoSpaceDN w:val="0"/>
              <w:adjustRightInd w:val="0"/>
              <w:jc w:val="center"/>
              <w:rPr>
                <w:sz w:val="16"/>
                <w:szCs w:val="16"/>
              </w:rPr>
            </w:pPr>
          </w:p>
        </w:tc>
        <w:tc>
          <w:tcPr>
            <w:tcW w:w="771" w:type="pct"/>
            <w:shd w:val="clear" w:color="auto" w:fill="auto"/>
            <w:noWrap/>
            <w:vAlign w:val="center"/>
          </w:tcPr>
          <w:p w:rsidR="004028FA" w:rsidRPr="00894889" w:rsidRDefault="004028FA"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12"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32</w:t>
            </w:r>
          </w:p>
        </w:tc>
        <w:tc>
          <w:tcPr>
            <w:tcW w:w="15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26</w:t>
            </w:r>
          </w:p>
        </w:tc>
        <w:tc>
          <w:tcPr>
            <w:tcW w:w="17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26</w:t>
            </w:r>
          </w:p>
        </w:tc>
        <w:tc>
          <w:tcPr>
            <w:tcW w:w="160"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2" w:type="pct"/>
            <w:gridSpan w:val="2"/>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028FA" w:rsidRPr="003C3315" w:rsidRDefault="004028FA" w:rsidP="003E69AE">
            <w:pPr>
              <w:widowControl w:val="0"/>
              <w:autoSpaceDE w:val="0"/>
              <w:autoSpaceDN w:val="0"/>
              <w:adjustRightInd w:val="0"/>
              <w:jc w:val="center"/>
              <w:rPr>
                <w:bCs/>
                <w:sz w:val="16"/>
                <w:szCs w:val="16"/>
              </w:rPr>
            </w:pPr>
          </w:p>
        </w:tc>
        <w:tc>
          <w:tcPr>
            <w:tcW w:w="132"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29"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68"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r>
      <w:tr w:rsidR="003465AA" w:rsidRPr="003C3315" w:rsidTr="000D17AA">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D91C5F" w:rsidP="007C4931">
            <w:pPr>
              <w:widowControl w:val="0"/>
              <w:autoSpaceDE w:val="0"/>
              <w:autoSpaceDN w:val="0"/>
              <w:adjustRightInd w:val="0"/>
              <w:ind w:left="-57" w:right="-57"/>
              <w:jc w:val="right"/>
              <w:rPr>
                <w:b/>
                <w:bCs/>
                <w:sz w:val="16"/>
                <w:szCs w:val="16"/>
              </w:rPr>
            </w:pPr>
            <w:r>
              <w:rPr>
                <w:b/>
                <w:bCs/>
                <w:sz w:val="16"/>
                <w:szCs w:val="16"/>
              </w:rPr>
              <w:t>72</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D91C5F" w:rsidP="007C4931">
            <w:pPr>
              <w:widowControl w:val="0"/>
              <w:autoSpaceDE w:val="0"/>
              <w:autoSpaceDN w:val="0"/>
              <w:adjustRightInd w:val="0"/>
              <w:jc w:val="right"/>
              <w:rPr>
                <w:b/>
                <w:sz w:val="16"/>
                <w:szCs w:val="16"/>
              </w:rPr>
            </w:pPr>
            <w:r>
              <w:rPr>
                <w:b/>
                <w:sz w:val="16"/>
                <w:szCs w:val="16"/>
              </w:rPr>
              <w:t>36</w:t>
            </w:r>
          </w:p>
        </w:tc>
        <w:tc>
          <w:tcPr>
            <w:tcW w:w="2683"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8"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0D17A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0D17AA" w:rsidRPr="00CB216D" w:rsidRDefault="000D17A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0D17AA" w:rsidP="009A0EBB">
            <w:pPr>
              <w:snapToGrid w:val="0"/>
              <w:jc w:val="center"/>
            </w:pPr>
            <w:r>
              <w:t>72</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610C21" w:rsidRPr="00002FD1" w:rsidRDefault="00002FD1" w:rsidP="00002FD1">
      <w:pPr>
        <w:pStyle w:val="a6"/>
        <w:numPr>
          <w:ilvl w:val="2"/>
          <w:numId w:val="28"/>
        </w:numPr>
        <w:jc w:val="both"/>
        <w:rPr>
          <w:lang w:val="en-US"/>
        </w:rPr>
      </w:pPr>
      <w:r w:rsidRPr="00002FD1">
        <w:rPr>
          <w:sz w:val="22"/>
          <w:szCs w:val="22"/>
          <w:lang w:val="en-US"/>
        </w:rPr>
        <w:t>Communication in the sphere of science and technology</w:t>
      </w:r>
    </w:p>
    <w:p w:rsidR="00610C21" w:rsidRDefault="00002FD1" w:rsidP="00002FD1">
      <w:pPr>
        <w:pStyle w:val="a6"/>
        <w:numPr>
          <w:ilvl w:val="2"/>
          <w:numId w:val="28"/>
        </w:numPr>
        <w:jc w:val="both"/>
      </w:pPr>
      <w:proofErr w:type="spellStart"/>
      <w:r w:rsidRPr="00002FD1">
        <w:t>Academic</w:t>
      </w:r>
      <w:proofErr w:type="spellEnd"/>
      <w:r w:rsidRPr="00002FD1">
        <w:t xml:space="preserve"> </w:t>
      </w:r>
      <w:proofErr w:type="spellStart"/>
      <w:r w:rsidRPr="00002FD1">
        <w:t>writing</w:t>
      </w:r>
      <w:proofErr w:type="spellEnd"/>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D53848"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60"/>
                <w:tab w:val="left" w:pos="386"/>
              </w:tabs>
              <w:snapToGrid w:val="0"/>
              <w:jc w:val="both"/>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74433" w:rsidRPr="00174433" w:rsidRDefault="00174433" w:rsidP="00C5763D">
      <w:pPr>
        <w:pStyle w:val="a6"/>
        <w:numPr>
          <w:ilvl w:val="0"/>
          <w:numId w:val="29"/>
        </w:numPr>
        <w:tabs>
          <w:tab w:val="num" w:pos="0"/>
        </w:tabs>
        <w:ind w:left="1077" w:hanging="357"/>
        <w:rPr>
          <w:lang w:val="en-US"/>
        </w:rPr>
      </w:pPr>
      <w:r w:rsidRPr="00174433">
        <w:rPr>
          <w:lang w:val="en-US"/>
        </w:rPr>
        <w:t xml:space="preserve">Powell M. Presenting in English: How to give successful presentations / M. Powell. - Independence: </w:t>
      </w:r>
      <w:proofErr w:type="spellStart"/>
      <w:r w:rsidRPr="00174433">
        <w:rPr>
          <w:lang w:val="en-US"/>
        </w:rPr>
        <w:t>Heinle</w:t>
      </w:r>
      <w:proofErr w:type="spellEnd"/>
      <w:r w:rsidRPr="00174433">
        <w:rPr>
          <w:lang w:val="en-US"/>
        </w:rPr>
        <w:t>, 2011. - 290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Guffey</w:t>
      </w:r>
      <w:proofErr w:type="spellEnd"/>
      <w:r w:rsidRPr="00174433">
        <w:rPr>
          <w:lang w:val="en-US"/>
        </w:rPr>
        <w:t xml:space="preserve"> M.E. Business English / M.E. </w:t>
      </w:r>
      <w:proofErr w:type="spellStart"/>
      <w:r w:rsidRPr="00174433">
        <w:rPr>
          <w:lang w:val="en-US"/>
        </w:rPr>
        <w:t>Guffey</w:t>
      </w:r>
      <w:proofErr w:type="spellEnd"/>
      <w:r w:rsidRPr="00174433">
        <w:rPr>
          <w:lang w:val="en-US"/>
        </w:rPr>
        <w:t>. - Independence: Cengage Learning, 2014. - 346 c.</w:t>
      </w:r>
    </w:p>
    <w:p w:rsidR="00174433" w:rsidRPr="00174433" w:rsidRDefault="00174433" w:rsidP="00C5763D">
      <w:pPr>
        <w:pStyle w:val="a6"/>
        <w:numPr>
          <w:ilvl w:val="0"/>
          <w:numId w:val="29"/>
        </w:numPr>
        <w:tabs>
          <w:tab w:val="num" w:pos="0"/>
        </w:tabs>
        <w:ind w:left="1077" w:hanging="357"/>
        <w:rPr>
          <w:lang w:val="en-US"/>
        </w:rPr>
      </w:pPr>
      <w:r w:rsidRPr="00174433">
        <w:rPr>
          <w:lang w:val="en-US"/>
        </w:rPr>
        <w:t>Gore S. English for socializing / S. Gore. - Oxford: Oxford University Press, 2009. - 278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Wallwork</w:t>
      </w:r>
      <w:proofErr w:type="spellEnd"/>
      <w:r w:rsidRPr="00174433">
        <w:rPr>
          <w:lang w:val="en-US"/>
        </w:rPr>
        <w:t xml:space="preserve"> A. Meetings, Negotiations, and Socializing: A Guide to Professional English / A. </w:t>
      </w:r>
      <w:proofErr w:type="spellStart"/>
      <w:r w:rsidRPr="00174433">
        <w:rPr>
          <w:lang w:val="en-US"/>
        </w:rPr>
        <w:t>Wallwork</w:t>
      </w:r>
      <w:proofErr w:type="spellEnd"/>
      <w:r w:rsidRPr="00174433">
        <w:rPr>
          <w:lang w:val="en-US"/>
        </w:rPr>
        <w:t>. -  New York: Springer, 2014. - 178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74433" w:rsidRDefault="00174433" w:rsidP="00C5763D">
      <w:pPr>
        <w:pStyle w:val="a6"/>
        <w:numPr>
          <w:ilvl w:val="0"/>
          <w:numId w:val="30"/>
        </w:numPr>
        <w:ind w:left="1077" w:hanging="357"/>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74433" w:rsidRDefault="00174433" w:rsidP="00C5763D">
      <w:pPr>
        <w:pStyle w:val="a6"/>
        <w:numPr>
          <w:ilvl w:val="0"/>
          <w:numId w:val="30"/>
        </w:numPr>
        <w:ind w:left="1077" w:hanging="357"/>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74433" w:rsidRDefault="00174433" w:rsidP="00C5763D">
      <w:pPr>
        <w:pStyle w:val="a6"/>
        <w:numPr>
          <w:ilvl w:val="0"/>
          <w:numId w:val="30"/>
        </w:numPr>
        <w:ind w:left="1077" w:hanging="357"/>
        <w:jc w:val="both"/>
      </w:pPr>
      <w:r>
        <w:t xml:space="preserve">Ивина Л.В. Современный англо-русский толковый бизнес-словарь / Л.В. Ивина, В.А. Воронцов. - М.: АСТ, </w:t>
      </w:r>
      <w:proofErr w:type="spellStart"/>
      <w:r>
        <w:t>Астрель</w:t>
      </w:r>
      <w:proofErr w:type="spellEnd"/>
      <w:r>
        <w:t>, 2007. - 564 с.</w:t>
      </w:r>
    </w:p>
    <w:p w:rsidR="00174433" w:rsidRDefault="00174433" w:rsidP="00C5763D">
      <w:pPr>
        <w:pStyle w:val="a6"/>
        <w:numPr>
          <w:ilvl w:val="0"/>
          <w:numId w:val="30"/>
        </w:numPr>
        <w:ind w:left="1077" w:hanging="357"/>
        <w:jc w:val="both"/>
      </w:pPr>
      <w:proofErr w:type="spellStart"/>
      <w:r>
        <w:t>Нешумаев</w:t>
      </w:r>
      <w:proofErr w:type="spellEnd"/>
      <w:r>
        <w:t xml:space="preserve"> И.В. Англо-русский словарь современной деловой разговорной лексики / И.В. </w:t>
      </w:r>
      <w:proofErr w:type="spellStart"/>
      <w:r>
        <w:t>Нашумаев</w:t>
      </w:r>
      <w:proofErr w:type="spellEnd"/>
      <w:r>
        <w:t>. - М.: Русский язык, 2006. - 432 с.</w:t>
      </w:r>
    </w:p>
    <w:p w:rsidR="00174433" w:rsidRPr="00174433" w:rsidRDefault="00174433" w:rsidP="00C5763D">
      <w:pPr>
        <w:pStyle w:val="a6"/>
        <w:numPr>
          <w:ilvl w:val="0"/>
          <w:numId w:val="30"/>
        </w:numPr>
        <w:ind w:left="1077" w:hanging="357"/>
        <w:jc w:val="both"/>
        <w:rPr>
          <w:lang w:val="en-US"/>
        </w:rPr>
      </w:pPr>
      <w:r w:rsidRPr="00174433">
        <w:rPr>
          <w:lang w:val="en-US"/>
        </w:rPr>
        <w:lastRenderedPageBreak/>
        <w:t xml:space="preserve">Comfort J. Effective </w:t>
      </w:r>
      <w:proofErr w:type="spellStart"/>
      <w:r w:rsidRPr="00174433">
        <w:rPr>
          <w:lang w:val="en-US"/>
        </w:rPr>
        <w:t>socialising</w:t>
      </w:r>
      <w:proofErr w:type="spellEnd"/>
      <w:r w:rsidRPr="00174433">
        <w:rPr>
          <w:lang w:val="en-US"/>
        </w:rPr>
        <w:t xml:space="preserve"> / J. Comfort. - Oxford: Oxford University Press, 1997. - 189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presentations / J. Comfort. - Oxford: Oxford University Press, 1997.-190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negotiations / J. Comfort. - Oxford: Oxford University Press, 1997. - 197 c.</w:t>
      </w:r>
    </w:p>
    <w:p w:rsidR="00174433" w:rsidRPr="00174433" w:rsidRDefault="00174433" w:rsidP="00C5763D">
      <w:pPr>
        <w:pStyle w:val="a6"/>
        <w:numPr>
          <w:ilvl w:val="0"/>
          <w:numId w:val="30"/>
        </w:numPr>
        <w:ind w:left="1077" w:hanging="357"/>
        <w:jc w:val="both"/>
        <w:rPr>
          <w:lang w:val="en-US"/>
        </w:rPr>
      </w:pPr>
      <w:proofErr w:type="spellStart"/>
      <w:r w:rsidRPr="00174433">
        <w:rPr>
          <w:lang w:val="en-US"/>
        </w:rPr>
        <w:t>Mascull</w:t>
      </w:r>
      <w:proofErr w:type="spellEnd"/>
      <w:r w:rsidRPr="00174433">
        <w:rPr>
          <w:lang w:val="en-US"/>
        </w:rPr>
        <w:t xml:space="preserve"> B. Business Vocabulary in Use / B. </w:t>
      </w:r>
      <w:proofErr w:type="spellStart"/>
      <w:r w:rsidRPr="00174433">
        <w:rPr>
          <w:lang w:val="en-US"/>
        </w:rPr>
        <w:t>Mascull</w:t>
      </w:r>
      <w:proofErr w:type="spellEnd"/>
      <w:r w:rsidRPr="00174433">
        <w:rPr>
          <w:lang w:val="en-US"/>
        </w:rPr>
        <w:t>. - Cambridge: Cambridge University Press, 2002. - 302 c.</w:t>
      </w:r>
    </w:p>
    <w:p w:rsidR="00240CC9" w:rsidRPr="00174433" w:rsidRDefault="00240CC9" w:rsidP="00C5763D">
      <w:pPr>
        <w:pStyle w:val="a6"/>
        <w:ind w:left="964"/>
        <w:jc w:val="both"/>
        <w:rPr>
          <w:lang w:val="en-US"/>
        </w:rPr>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Образовательный портал «Экономика, социология, менеджмент»  - </w:t>
      </w:r>
    </w:p>
    <w:p w:rsidR="00174433" w:rsidRDefault="00174433" w:rsidP="00C5763D">
      <w:pPr>
        <w:pStyle w:val="a6"/>
        <w:numPr>
          <w:ilvl w:val="0"/>
          <w:numId w:val="12"/>
        </w:numPr>
      </w:pPr>
      <w:r>
        <w:t xml:space="preserve">http://www.humanities.edu.ru/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00B90676" w:rsidRPr="00B90676">
              <w:t>0.</w:t>
            </w:r>
            <w:r w:rsidR="00773C5E">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rsidRPr="00773C5E">
              <w:t>1</w:t>
            </w:r>
            <w:r w:rsidR="0089042E" w:rsidRPr="0089042E">
              <w:t>.</w:t>
            </w:r>
            <w:r w:rsidR="00773C5E">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pPr>
              <w:rPr>
                <w:lang w:val="en-US"/>
              </w:rPr>
            </w:pPr>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5B2D69" w:rsidP="009A0EBB">
            <w:r>
              <w:t>32</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Pr>
                <w:lang w:val="en-US"/>
              </w:rPr>
              <w:t>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r>
              <w:t>32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773C5E">
            <w:r w:rsidRPr="00641240">
              <w:rPr>
                <w:b/>
              </w:rPr>
              <w:t xml:space="preserve">Весовой коэффициент значимости результатов текущей аттестации по практическим/семинарским занятиям– </w:t>
            </w:r>
            <w:r w:rsidR="005B2D69" w:rsidRPr="005B2D69">
              <w:t>0</w:t>
            </w:r>
            <w:r w:rsidR="00773C5E">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F453C8"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773C5E">
              <w:t>зачёт</w:t>
            </w:r>
          </w:p>
          <w:p w:rsidR="004162ED" w:rsidRPr="00F453C8"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773C5E">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004289" w:rsidRDefault="00457F25" w:rsidP="009A0EBB">
            <w:pPr>
              <w:jc w:val="center"/>
              <w:rPr>
                <w:iCs/>
              </w:rPr>
            </w:pPr>
            <w:r>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9850"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C85B8B"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CC7149" w:rsidRDefault="00CC7149" w:rsidP="00DA1C26">
      <w:pPr>
        <w:pStyle w:val="a6"/>
        <w:numPr>
          <w:ilvl w:val="1"/>
          <w:numId w:val="32"/>
        </w:numPr>
        <w:jc w:val="both"/>
      </w:pPr>
      <w:r>
        <w:t>Приготовьте личную презентацию на английском языке.</w:t>
      </w:r>
    </w:p>
    <w:p w:rsidR="00CC7149" w:rsidRDefault="00CC7149" w:rsidP="00DA1C26">
      <w:pPr>
        <w:pStyle w:val="a6"/>
        <w:numPr>
          <w:ilvl w:val="1"/>
          <w:numId w:val="32"/>
        </w:numPr>
        <w:jc w:val="both"/>
      </w:pPr>
      <w:r>
        <w:t>Приготовьте презентацию по теме исследования или по тематике переведенной статьи на английском языке.</w:t>
      </w:r>
    </w:p>
    <w:p w:rsidR="000F335D" w:rsidRPr="000F335D" w:rsidRDefault="000F335D" w:rsidP="000971F8">
      <w:pPr>
        <w:pStyle w:val="aa"/>
        <w:keepNext/>
        <w:keepLines/>
        <w:rPr>
          <w:rFonts w:ascii="Symbol" w:hAnsi="Symbol"/>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контрольной работы</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lastRenderedPageBreak/>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DA1C26" w:rsidRDefault="00DA1C26" w:rsidP="00DA1C26">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2000 печатных знаков с иностранного языка на русский язык со словарем за 60 минут.</w:t>
      </w:r>
    </w:p>
    <w:p w:rsidR="00DA1C26" w:rsidRDefault="00DA1C26" w:rsidP="00DA1C26">
      <w:pPr>
        <w:rPr>
          <w:lang w:eastAsia="x-none"/>
        </w:rPr>
      </w:pPr>
    </w:p>
    <w:p w:rsidR="00DA1C26" w:rsidRPr="00AC01FD" w:rsidRDefault="00DA1C26" w:rsidP="00DA1C26">
      <w:pPr>
        <w:rPr>
          <w:u w:val="single"/>
          <w:lang w:val="en-US" w:eastAsia="x-none"/>
        </w:rPr>
      </w:pPr>
      <w:r w:rsidRPr="005B39F5">
        <w:rPr>
          <w:u w:val="single"/>
          <w:lang w:eastAsia="x-none"/>
        </w:rPr>
        <w:t>Пример</w:t>
      </w:r>
      <w:r w:rsidRPr="00AC01FD">
        <w:rPr>
          <w:u w:val="single"/>
          <w:lang w:val="en-US" w:eastAsia="x-none"/>
        </w:rPr>
        <w:t xml:space="preserve"> </w:t>
      </w:r>
      <w:r w:rsidRPr="005B39F5">
        <w:rPr>
          <w:u w:val="single"/>
          <w:lang w:eastAsia="x-none"/>
        </w:rPr>
        <w:t>задания</w:t>
      </w:r>
      <w:r w:rsidRPr="00AC01FD">
        <w:rPr>
          <w:u w:val="single"/>
          <w:lang w:val="en-US" w:eastAsia="x-none"/>
        </w:rPr>
        <w:t>:</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The present invention relates to a machine for the automatic printing of flat articles and more particularly of musical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known that such records have in the center of each of their sides a label which bears the information concerning their contents. The manufacture and the application of these labels are relatively expensive and it has therefore been attempted to directly print the titles and like information on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But a problem arises when it is desired to use conventional printing methods for this purpose owing to the fact that light colors are then to be printed on a black background. Such is more particularly the case for the so-called offset process which permits multi-color printing, but only on a substantially white surface.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has therefore been suggested to provide a preliminary operation wherein a layer of substantially white varnish or ink is applied onto the zone to be printed. This zone may thereafter receive the multicolor printing desired without any difficulty. The first operation may be effected by flexography and the second one by the dry offset method. But of course this requires two particular machines.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an object of this invention to provide a combined machine which may perform automatically the application of a substantially white layer onto the central zone of each side of musical records and thereafter the printing of the title and associated information on these layers without requiring any intermediate handling of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 further object of the present invention is a combined machine as aforesaid, wherein the records to be printed are carried in succession by a screw conveyor and are raised from same to be brought to a first printing station wherein the background is printed on their central portion, then returned onto the screw conveyor, and thereafter again raised therefrom towards a second printing station and returned onto the said screw conveyor.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Another object of this invention is to provide such a machine including a feeding station in which the records are piled on an inclined belt conveyor, the last lowermost article of the pile being withdrawn from the pile by a pneumatic annular cup and brought on the upstream end of the screw conveyor in synchronism with the operation of same.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In the annexed drawings: FIG. 1 is a general longitudinal section illustrating somewhat diagrammatically the essential parts of a machine according to this invention. </w:t>
      </w:r>
    </w:p>
    <w:p w:rsidR="00DA1C26" w:rsidRPr="00745E7A" w:rsidRDefault="00DA1C26" w:rsidP="00DA1C26">
      <w:pPr>
        <w:ind w:left="720"/>
        <w:jc w:val="both"/>
        <w:rPr>
          <w:sz w:val="22"/>
          <w:szCs w:val="22"/>
          <w:lang w:val="en-US" w:eastAsia="x-none"/>
        </w:rPr>
      </w:pPr>
    </w:p>
    <w:p w:rsidR="00DA1C26" w:rsidRDefault="00DA1C26" w:rsidP="00DA1C26">
      <w:pPr>
        <w:widowControl w:val="0"/>
        <w:numPr>
          <w:ilvl w:val="0"/>
          <w:numId w:val="33"/>
        </w:numPr>
        <w:autoSpaceDE w:val="0"/>
        <w:autoSpaceDN w:val="0"/>
        <w:adjustRightInd w:val="0"/>
        <w:rPr>
          <w:lang w:eastAsia="x-none"/>
        </w:rPr>
      </w:pPr>
      <w:r>
        <w:rPr>
          <w:lang w:eastAsia="x-none"/>
        </w:rPr>
        <w:t>Составьте диалог по предложенной ситуации (в парах). Продемонстрируйте диалог в устной форме.</w:t>
      </w:r>
    </w:p>
    <w:p w:rsidR="00DA1C26" w:rsidRPr="00AC01FD" w:rsidRDefault="00DA1C26" w:rsidP="00DA1C26">
      <w:pPr>
        <w:jc w:val="center"/>
        <w:rPr>
          <w:sz w:val="22"/>
          <w:szCs w:val="22"/>
        </w:rPr>
      </w:pPr>
    </w:p>
    <w:p w:rsidR="00DA1C26" w:rsidRPr="005B39F5" w:rsidRDefault="00DA1C26" w:rsidP="00DA1C26">
      <w:pPr>
        <w:rPr>
          <w:sz w:val="22"/>
          <w:szCs w:val="22"/>
          <w:u w:val="single"/>
          <w:lang w:val="en-US"/>
        </w:rPr>
      </w:pPr>
      <w:r w:rsidRPr="005B39F5">
        <w:rPr>
          <w:sz w:val="22"/>
          <w:szCs w:val="22"/>
          <w:u w:val="single"/>
        </w:rPr>
        <w:t>Пример</w:t>
      </w:r>
      <w:r w:rsidRPr="005B39F5">
        <w:rPr>
          <w:sz w:val="22"/>
          <w:szCs w:val="22"/>
          <w:u w:val="single"/>
          <w:lang w:val="en-US"/>
        </w:rPr>
        <w:t xml:space="preserve"> </w:t>
      </w:r>
      <w:r w:rsidRPr="005B39F5">
        <w:rPr>
          <w:sz w:val="22"/>
          <w:szCs w:val="22"/>
          <w:u w:val="single"/>
        </w:rPr>
        <w:t>задания</w:t>
      </w:r>
      <w:r w:rsidRPr="005B39F5">
        <w:rPr>
          <w:sz w:val="22"/>
          <w:szCs w:val="22"/>
          <w:u w:val="single"/>
          <w:lang w:val="en-US"/>
        </w:rPr>
        <w:t>:</w:t>
      </w:r>
    </w:p>
    <w:p w:rsidR="00DA1C26" w:rsidRPr="00DA1C26" w:rsidRDefault="00DA1C26" w:rsidP="00DA1C26">
      <w:pPr>
        <w:rPr>
          <w:sz w:val="22"/>
          <w:szCs w:val="22"/>
          <w:lang w:val="en-US"/>
        </w:rPr>
      </w:pPr>
      <w:r w:rsidRPr="00745E7A">
        <w:rPr>
          <w:sz w:val="22"/>
          <w:szCs w:val="22"/>
          <w:lang w:val="en-US"/>
        </w:rPr>
        <w:t>You are meeting your business partner at the airport. You haven’t met before but you have exchanged lots of e-mails. The flight was delayed for 30 minutes. This is his first visit to your country. You have been to his country twice – on business and on holiday. The weather today is not very good. You will go to the hotel first and then you have a meeting with your team at 11 a.m. You want to invite your guest to the restaurant for lunch but he is very tired and wants to have some rest after the meeting. He suggests going to a restaurant for dinner. On the way to the hotel you talk about hobbies and free time. Sometimes it’s not easy for you to understand your guest as he speaks English which is not your native language. You have a mutual acquaintance Anna and you talk about her a little as well. You also tell some interesting things about your city and recommend a couple of places to visit.</w:t>
      </w:r>
    </w:p>
    <w:p w:rsidR="00DA1C26" w:rsidRPr="00DA1C26" w:rsidRDefault="00DA1C26" w:rsidP="00DA1C26">
      <w:pPr>
        <w:rPr>
          <w:sz w:val="22"/>
          <w:szCs w:val="22"/>
          <w:lang w:val="en-US"/>
        </w:rPr>
      </w:pPr>
    </w:p>
    <w:p w:rsidR="00DA1C26" w:rsidRPr="00D85BFA" w:rsidRDefault="00DA1C26" w:rsidP="00DA1C26">
      <w:pPr>
        <w:widowControl w:val="0"/>
        <w:numPr>
          <w:ilvl w:val="0"/>
          <w:numId w:val="33"/>
        </w:numPr>
        <w:autoSpaceDE w:val="0"/>
        <w:autoSpaceDN w:val="0"/>
        <w:adjustRightInd w:val="0"/>
        <w:rPr>
          <w:i/>
          <w:iCs/>
        </w:rPr>
      </w:pPr>
      <w:r>
        <w:rPr>
          <w:iCs/>
        </w:rPr>
        <w:t>Сделайте презентацию по теме исследования (магистерской диссертации).</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1">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2">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3">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8">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12"/>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0"/>
  </w:num>
  <w:num w:numId="10">
    <w:abstractNumId w:val="25"/>
  </w:num>
  <w:num w:numId="11">
    <w:abstractNumId w:val="3"/>
  </w:num>
  <w:num w:numId="12">
    <w:abstractNumId w:val="26"/>
  </w:num>
  <w:num w:numId="13">
    <w:abstractNumId w:val="32"/>
  </w:num>
  <w:num w:numId="14">
    <w:abstractNumId w:val="22"/>
  </w:num>
  <w:num w:numId="15">
    <w:abstractNumId w:val="31"/>
  </w:num>
  <w:num w:numId="16">
    <w:abstractNumId w:val="24"/>
  </w:num>
  <w:num w:numId="17">
    <w:abstractNumId w:val="29"/>
  </w:num>
  <w:num w:numId="18">
    <w:abstractNumId w:val="30"/>
  </w:num>
  <w:num w:numId="19">
    <w:abstractNumId w:val="14"/>
  </w:num>
  <w:num w:numId="20">
    <w:abstractNumId w:val="4"/>
  </w:num>
  <w:num w:numId="21">
    <w:abstractNumId w:val="27"/>
  </w:num>
  <w:num w:numId="22">
    <w:abstractNumId w:val="28"/>
  </w:num>
  <w:num w:numId="23">
    <w:abstractNumId w:val="2"/>
  </w:num>
  <w:num w:numId="24">
    <w:abstractNumId w:val="23"/>
  </w:num>
  <w:num w:numId="25">
    <w:abstractNumId w:val="1"/>
  </w:num>
  <w:num w:numId="26">
    <w:abstractNumId w:val="18"/>
  </w:num>
  <w:num w:numId="27">
    <w:abstractNumId w:val="15"/>
  </w:num>
  <w:num w:numId="28">
    <w:abstractNumId w:val="16"/>
  </w:num>
  <w:num w:numId="29">
    <w:abstractNumId w:val="17"/>
  </w:num>
  <w:num w:numId="30">
    <w:abstractNumId w:val="8"/>
  </w:num>
  <w:num w:numId="31">
    <w:abstractNumId w:val="5"/>
  </w:num>
  <w:num w:numId="32">
    <w:abstractNumId w:val="13"/>
  </w:num>
  <w:num w:numId="3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D17AA"/>
    <w:rsid w:val="000F335D"/>
    <w:rsid w:val="00102FBD"/>
    <w:rsid w:val="00103C8B"/>
    <w:rsid w:val="00110F24"/>
    <w:rsid w:val="001349A8"/>
    <w:rsid w:val="001446FF"/>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764E5"/>
    <w:rsid w:val="00281EB6"/>
    <w:rsid w:val="00284E37"/>
    <w:rsid w:val="00291888"/>
    <w:rsid w:val="002A5D4E"/>
    <w:rsid w:val="002A739C"/>
    <w:rsid w:val="002B1FA7"/>
    <w:rsid w:val="002D32E5"/>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23FCC"/>
    <w:rsid w:val="004451D2"/>
    <w:rsid w:val="0044742E"/>
    <w:rsid w:val="00457F25"/>
    <w:rsid w:val="004664C9"/>
    <w:rsid w:val="004A7056"/>
    <w:rsid w:val="004F7D1B"/>
    <w:rsid w:val="005024C9"/>
    <w:rsid w:val="005107D2"/>
    <w:rsid w:val="00520308"/>
    <w:rsid w:val="005263F0"/>
    <w:rsid w:val="005340F5"/>
    <w:rsid w:val="005415D3"/>
    <w:rsid w:val="00557495"/>
    <w:rsid w:val="005649A6"/>
    <w:rsid w:val="005764C2"/>
    <w:rsid w:val="00580674"/>
    <w:rsid w:val="00593805"/>
    <w:rsid w:val="005B027F"/>
    <w:rsid w:val="005B2D69"/>
    <w:rsid w:val="005B43F1"/>
    <w:rsid w:val="005C09C1"/>
    <w:rsid w:val="006051A0"/>
    <w:rsid w:val="00610C21"/>
    <w:rsid w:val="00631638"/>
    <w:rsid w:val="00640660"/>
    <w:rsid w:val="00644DC4"/>
    <w:rsid w:val="00656A62"/>
    <w:rsid w:val="006617A5"/>
    <w:rsid w:val="00667056"/>
    <w:rsid w:val="00667879"/>
    <w:rsid w:val="00696561"/>
    <w:rsid w:val="006A3F5D"/>
    <w:rsid w:val="006F3BEB"/>
    <w:rsid w:val="00705705"/>
    <w:rsid w:val="0071371A"/>
    <w:rsid w:val="0071635A"/>
    <w:rsid w:val="007260E5"/>
    <w:rsid w:val="00762A38"/>
    <w:rsid w:val="00763218"/>
    <w:rsid w:val="00766558"/>
    <w:rsid w:val="00773C5E"/>
    <w:rsid w:val="00790B45"/>
    <w:rsid w:val="007B749B"/>
    <w:rsid w:val="007C4931"/>
    <w:rsid w:val="007D5A72"/>
    <w:rsid w:val="007E2001"/>
    <w:rsid w:val="007E7F56"/>
    <w:rsid w:val="007F0EB5"/>
    <w:rsid w:val="00806DB5"/>
    <w:rsid w:val="00817297"/>
    <w:rsid w:val="00873896"/>
    <w:rsid w:val="00882382"/>
    <w:rsid w:val="0089042E"/>
    <w:rsid w:val="008A48A7"/>
    <w:rsid w:val="008B0A1F"/>
    <w:rsid w:val="008B502C"/>
    <w:rsid w:val="008C4BF4"/>
    <w:rsid w:val="008D6066"/>
    <w:rsid w:val="008F09C9"/>
    <w:rsid w:val="008F1EEA"/>
    <w:rsid w:val="009455B7"/>
    <w:rsid w:val="00956E05"/>
    <w:rsid w:val="00956F6F"/>
    <w:rsid w:val="00961B2A"/>
    <w:rsid w:val="00977610"/>
    <w:rsid w:val="00984CCA"/>
    <w:rsid w:val="009925BF"/>
    <w:rsid w:val="009A0EBB"/>
    <w:rsid w:val="009A4AD6"/>
    <w:rsid w:val="009F44C5"/>
    <w:rsid w:val="00A0330C"/>
    <w:rsid w:val="00A07A39"/>
    <w:rsid w:val="00A15C7B"/>
    <w:rsid w:val="00A30447"/>
    <w:rsid w:val="00A33D09"/>
    <w:rsid w:val="00A5369F"/>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85B8B"/>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E00925"/>
    <w:rsid w:val="00E03C93"/>
    <w:rsid w:val="00E10A60"/>
    <w:rsid w:val="00E13E48"/>
    <w:rsid w:val="00E27673"/>
    <w:rsid w:val="00E4761A"/>
    <w:rsid w:val="00E651D5"/>
    <w:rsid w:val="00E6578C"/>
    <w:rsid w:val="00E80A6C"/>
    <w:rsid w:val="00E81613"/>
    <w:rsid w:val="00E8428D"/>
    <w:rsid w:val="00E8525B"/>
    <w:rsid w:val="00E95ABC"/>
    <w:rsid w:val="00EA0B88"/>
    <w:rsid w:val="00EA2E76"/>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4FFFC-9A22-4240-9E03-608D86B00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340</TotalTime>
  <Pages>13</Pages>
  <Words>3190</Words>
  <Characters>18188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162</cp:revision>
  <cp:lastPrinted>1900-12-31T19:00:00Z</cp:lastPrinted>
  <dcterms:created xsi:type="dcterms:W3CDTF">2016-12-09T08:14:00Z</dcterms:created>
  <dcterms:modified xsi:type="dcterms:W3CDTF">2017-12-16T12:15:00Z</dcterms:modified>
</cp:coreProperties>
</file>