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648E9" w14:textId="77777777" w:rsidR="00402E4B" w:rsidRPr="00402E4B" w:rsidRDefault="00402E4B" w:rsidP="00402E4B">
      <w:pPr>
        <w:jc w:val="center"/>
        <w:rPr>
          <w:b/>
          <w:bCs/>
          <w:sz w:val="24"/>
          <w:szCs w:val="26"/>
          <w:rtl/>
        </w:rPr>
      </w:pPr>
      <w:r w:rsidRPr="00402E4B">
        <w:rPr>
          <w:rFonts w:hint="cs"/>
          <w:b/>
          <w:bCs/>
          <w:sz w:val="24"/>
          <w:szCs w:val="26"/>
          <w:rtl/>
        </w:rPr>
        <w:t>כמה עניינים לגבי קשירת תכלת:</w:t>
      </w:r>
    </w:p>
    <w:p w14:paraId="55181E16" w14:textId="77777777" w:rsidR="002D3313" w:rsidRPr="0047462B" w:rsidRDefault="00AC7808" w:rsidP="0047462B">
      <w:pPr>
        <w:pStyle w:val="a8"/>
        <w:numPr>
          <w:ilvl w:val="0"/>
          <w:numId w:val="1"/>
        </w:numPr>
        <w:rPr>
          <w:b/>
          <w:bCs/>
          <w:rtl/>
        </w:rPr>
      </w:pPr>
      <w:r w:rsidRPr="0047462B">
        <w:rPr>
          <w:rFonts w:hint="cs"/>
          <w:b/>
          <w:bCs/>
          <w:rtl/>
        </w:rPr>
        <w:t>ניסיון להגן ע</w:t>
      </w:r>
      <w:r w:rsidR="00402E4B" w:rsidRPr="0047462B">
        <w:rPr>
          <w:rFonts w:hint="cs"/>
          <w:b/>
          <w:bCs/>
          <w:rtl/>
        </w:rPr>
        <w:t>ל שיטת הרב יעקב נגן</w:t>
      </w:r>
    </w:p>
    <w:p w14:paraId="19470D2F" w14:textId="77777777" w:rsidR="00AC7808" w:rsidRDefault="00AC7808" w:rsidP="00AC7808">
      <w:pPr>
        <w:rPr>
          <w:rFonts w:ascii="Times New Roman" w:eastAsia="Times New Roman" w:hAnsi="Times New Roman" w:cs="David"/>
          <w:sz w:val="20"/>
          <w:szCs w:val="22"/>
          <w:rtl/>
          <w:lang w:eastAsia="he-IL"/>
        </w:rPr>
      </w:pPr>
      <w:r>
        <w:rPr>
          <w:rFonts w:hint="cs"/>
          <w:rtl/>
        </w:rPr>
        <w:t>במאמר "התכלת וחידושה"</w:t>
      </w:r>
      <w:r w:rsidR="00402E4B">
        <w:rPr>
          <w:rFonts w:hint="cs"/>
          <w:rtl/>
        </w:rPr>
        <w:t xml:space="preserve"> (בחלק של קשירת תכלת בימינו)</w:t>
      </w:r>
      <w:r>
        <w:rPr>
          <w:rFonts w:hint="cs"/>
          <w:rtl/>
        </w:rPr>
        <w:t xml:space="preserve"> הרב כתב: </w:t>
      </w:r>
      <w:r>
        <w:rPr>
          <w:rFonts w:ascii="Times New Roman" w:eastAsia="Times New Roman" w:hAnsi="Times New Roman" w:cs="David" w:hint="cs"/>
          <w:sz w:val="20"/>
          <w:szCs w:val="22"/>
          <w:rtl/>
          <w:lang w:eastAsia="he-IL"/>
        </w:rPr>
        <w:t>"</w:t>
      </w:r>
      <w:r w:rsidRPr="00AC7808">
        <w:rPr>
          <w:rFonts w:ascii="Times New Roman" w:eastAsia="Times New Roman" w:hAnsi="Times New Roman" w:cs="David" w:hint="cs"/>
          <w:sz w:val="20"/>
          <w:szCs w:val="22"/>
          <w:rtl/>
          <w:lang w:eastAsia="he-IL"/>
        </w:rPr>
        <w:t>הקריאה של הרמב"ם את הפסוק, נראית לענ"ד כפשט הדברים. אך גם אם נאמר ש</w:t>
      </w:r>
      <w:r w:rsidRPr="00AC7808">
        <w:rPr>
          <w:rFonts w:ascii="Times New Roman" w:eastAsia="Times New Roman" w:hAnsi="Times New Roman" w:cs="David"/>
          <w:sz w:val="20"/>
          <w:szCs w:val="22"/>
          <w:rtl/>
          <w:lang w:eastAsia="he-IL"/>
        </w:rPr>
        <w:t xml:space="preserve">אין </w:t>
      </w:r>
      <w:r w:rsidRPr="00AC7808">
        <w:rPr>
          <w:rFonts w:ascii="Times New Roman" w:eastAsia="Times New Roman" w:hAnsi="Times New Roman" w:cs="David" w:hint="cs"/>
          <w:sz w:val="20"/>
          <w:szCs w:val="22"/>
          <w:rtl/>
          <w:lang w:eastAsia="he-IL"/>
        </w:rPr>
        <w:t xml:space="preserve">אנו יכולים להכריע </w:t>
      </w:r>
      <w:r w:rsidRPr="00AC7808">
        <w:rPr>
          <w:rFonts w:ascii="Times New Roman" w:eastAsia="Times New Roman" w:hAnsi="Times New Roman" w:cs="David"/>
          <w:sz w:val="20"/>
          <w:szCs w:val="22"/>
          <w:rtl/>
          <w:lang w:eastAsia="he-IL"/>
        </w:rPr>
        <w:t xml:space="preserve">בעניין זה, </w:t>
      </w:r>
      <w:r w:rsidRPr="00AC7808">
        <w:rPr>
          <w:rFonts w:ascii="Times New Roman" w:eastAsia="Times New Roman" w:hAnsi="Times New Roman" w:cs="David" w:hint="cs"/>
          <w:sz w:val="20"/>
          <w:szCs w:val="22"/>
          <w:rtl/>
          <w:lang w:eastAsia="he-IL"/>
        </w:rPr>
        <w:t>ונגדיר זאת כ</w:t>
      </w:r>
      <w:r w:rsidRPr="00AC7808">
        <w:rPr>
          <w:rFonts w:ascii="Times New Roman" w:eastAsia="Times New Roman" w:hAnsi="Times New Roman" w:cs="David"/>
          <w:sz w:val="20"/>
          <w:szCs w:val="22"/>
          <w:rtl/>
          <w:lang w:eastAsia="he-IL"/>
        </w:rPr>
        <w:t xml:space="preserve">ספק שקול, עדיף </w:t>
      </w:r>
      <w:r w:rsidRPr="00AC7808">
        <w:rPr>
          <w:rFonts w:ascii="Times New Roman" w:eastAsia="Times New Roman" w:hAnsi="Times New Roman" w:cs="David" w:hint="cs"/>
          <w:sz w:val="20"/>
          <w:szCs w:val="22"/>
          <w:rtl/>
          <w:lang w:eastAsia="he-IL"/>
        </w:rPr>
        <w:t xml:space="preserve">לענ"ד </w:t>
      </w:r>
      <w:r w:rsidRPr="00AC7808">
        <w:rPr>
          <w:rFonts w:ascii="Times New Roman" w:eastAsia="Times New Roman" w:hAnsi="Times New Roman" w:cs="David"/>
          <w:sz w:val="20"/>
          <w:szCs w:val="22"/>
          <w:rtl/>
          <w:lang w:eastAsia="he-IL"/>
        </w:rPr>
        <w:t>לנהוג כרמב"ם. שהרי, לדעת הרמב"ם</w:t>
      </w:r>
      <w:r w:rsidRPr="00AC7808">
        <w:rPr>
          <w:rFonts w:ascii="Times New Roman" w:eastAsia="Times New Roman" w:hAnsi="Times New Roman" w:cs="David" w:hint="cs"/>
          <w:sz w:val="20"/>
          <w:szCs w:val="22"/>
          <w:rtl/>
          <w:lang w:eastAsia="he-IL"/>
        </w:rPr>
        <w:t>,</w:t>
      </w:r>
      <w:r w:rsidRPr="00AC7808">
        <w:rPr>
          <w:rFonts w:ascii="Times New Roman" w:eastAsia="Times New Roman" w:hAnsi="Times New Roman" w:cs="David"/>
          <w:sz w:val="20"/>
          <w:szCs w:val="22"/>
          <w:rtl/>
          <w:lang w:eastAsia="he-IL"/>
        </w:rPr>
        <w:t xml:space="preserve"> הכריכה בתכלת </w:t>
      </w:r>
      <w:r w:rsidRPr="00AC7808">
        <w:rPr>
          <w:rFonts w:ascii="Times New Roman" w:eastAsia="Times New Roman" w:hAnsi="Times New Roman" w:cs="David" w:hint="cs"/>
          <w:sz w:val="20"/>
          <w:szCs w:val="22"/>
          <w:rtl/>
          <w:lang w:eastAsia="he-IL"/>
        </w:rPr>
        <w:t xml:space="preserve">היא </w:t>
      </w:r>
      <w:r w:rsidRPr="00AC7808">
        <w:rPr>
          <w:rFonts w:ascii="Times New Roman" w:eastAsia="Times New Roman" w:hAnsi="Times New Roman" w:cs="David"/>
          <w:sz w:val="20"/>
          <w:szCs w:val="22"/>
          <w:rtl/>
          <w:lang w:eastAsia="he-IL"/>
        </w:rPr>
        <w:t>עצם הדין מן התורה, בעוד שלדעת הראב"ד, הכריכה לסירוגין אינה גדר עקרוני במצוה, אלא נוי המצוה בלבד. ועדיף לוותר על נוי מצוה לפי הראב"ד, מאשר לוותר על עיקר דין התורה לפי הרמב"ם.</w:t>
      </w:r>
      <w:r>
        <w:rPr>
          <w:rFonts w:ascii="Times New Roman" w:eastAsia="Times New Roman" w:hAnsi="Times New Roman" w:cs="David" w:hint="cs"/>
          <w:sz w:val="20"/>
          <w:szCs w:val="22"/>
          <w:rtl/>
          <w:lang w:eastAsia="he-IL"/>
        </w:rPr>
        <w:t>"</w:t>
      </w:r>
    </w:p>
    <w:p w14:paraId="55D179B9" w14:textId="77777777" w:rsidR="00AA59CD" w:rsidRDefault="00AC7808" w:rsidP="00402E4B">
      <w:pPr>
        <w:rPr>
          <w:rtl/>
        </w:rPr>
      </w:pPr>
      <w:r>
        <w:rPr>
          <w:rFonts w:hint="cs"/>
          <w:rtl/>
        </w:rPr>
        <w:t xml:space="preserve">אני טוען שמתוך הרמב"ם עצמו ברור </w:t>
      </w:r>
      <w:commentRangeStart w:id="0"/>
      <w:r>
        <w:rPr>
          <w:rFonts w:hint="cs"/>
          <w:rtl/>
        </w:rPr>
        <w:t xml:space="preserve">שכריכות בלבן </w:t>
      </w:r>
      <w:commentRangeEnd w:id="0"/>
      <w:r w:rsidR="00FE62C3">
        <w:rPr>
          <w:rStyle w:val="a9"/>
          <w:rtl/>
        </w:rPr>
        <w:commentReference w:id="0"/>
      </w:r>
      <w:r>
        <w:rPr>
          <w:rFonts w:hint="cs"/>
          <w:rtl/>
        </w:rPr>
        <w:t xml:space="preserve">לא מעכבות, עובדה שגם הוא כורך את </w:t>
      </w:r>
      <w:r w:rsidR="00402E4B">
        <w:rPr>
          <w:rFonts w:hint="cs"/>
          <w:rtl/>
        </w:rPr>
        <w:t>הכרי</w:t>
      </w:r>
      <w:r>
        <w:rPr>
          <w:rFonts w:hint="cs"/>
          <w:rtl/>
        </w:rPr>
        <w:t xml:space="preserve">כה הראשונה והאחרונה בלבן. </w:t>
      </w:r>
      <w:r w:rsidR="00AA59CD">
        <w:rPr>
          <w:rFonts w:hint="cs"/>
          <w:rtl/>
        </w:rPr>
        <w:t>משמע שזה שאין כריכות בלבן זה דוקא לא עקרוני, והעיקר שלא יפחות מ7 חוליות תכלת</w:t>
      </w:r>
      <w:commentRangeStart w:id="1"/>
      <w:r w:rsidR="00AA59CD">
        <w:rPr>
          <w:rFonts w:hint="cs"/>
          <w:rtl/>
        </w:rPr>
        <w:t>.</w:t>
      </w:r>
      <w:commentRangeEnd w:id="1"/>
      <w:r w:rsidR="00FE62C3">
        <w:rPr>
          <w:rStyle w:val="a9"/>
          <w:rtl/>
        </w:rPr>
        <w:commentReference w:id="1"/>
      </w:r>
      <w:r w:rsidR="00AA59CD">
        <w:rPr>
          <w:rFonts w:hint="cs"/>
          <w:rtl/>
        </w:rPr>
        <w:t xml:space="preserve"> דוקא בשיטת הראב"ד לא הבנתי איך אפשר לטעון שזה רק נוי מצווה ולא אמירה עקרונית של </w:t>
      </w:r>
      <w:commentRangeStart w:id="2"/>
      <w:r w:rsidR="00AA59CD">
        <w:rPr>
          <w:rFonts w:hint="cs"/>
          <w:rtl/>
        </w:rPr>
        <w:t>תפקידים שווים.</w:t>
      </w:r>
      <w:commentRangeEnd w:id="2"/>
      <w:r w:rsidR="006831FA">
        <w:rPr>
          <w:rStyle w:val="a9"/>
          <w:rtl/>
        </w:rPr>
        <w:commentReference w:id="2"/>
      </w:r>
    </w:p>
    <w:p w14:paraId="60378A24" w14:textId="77777777" w:rsidR="00AA59CD" w:rsidRDefault="00AA59CD" w:rsidP="00AA59CD">
      <w:pPr>
        <w:rPr>
          <w:rtl/>
        </w:rPr>
      </w:pPr>
      <w:r>
        <w:rPr>
          <w:rFonts w:hint="cs"/>
          <w:rtl/>
        </w:rPr>
        <w:t xml:space="preserve">לגבי מה שנקרא במאמר "דיון ג' </w:t>
      </w:r>
      <w:r>
        <w:rPr>
          <w:rtl/>
        </w:rPr>
        <w:t>–</w:t>
      </w:r>
      <w:r>
        <w:rPr>
          <w:rFonts w:hint="cs"/>
          <w:rtl/>
        </w:rPr>
        <w:t xml:space="preserve"> מספר החוליות ומספר הכריכות" אני ארחיב בהמשך. רק אציין שכתוב בסוף שיש לעשות שבע חוליות של לפחות 3 ליפופים, </w:t>
      </w:r>
      <w:commentRangeStart w:id="3"/>
      <w:r>
        <w:rPr>
          <w:rFonts w:hint="cs"/>
          <w:rtl/>
        </w:rPr>
        <w:t>ואני מאמין שמוסכם על כולם שגם 13 חוליות של 3 ליפופים זה בסדר גמור</w:t>
      </w:r>
      <w:commentRangeEnd w:id="3"/>
      <w:r w:rsidR="006831FA">
        <w:rPr>
          <w:rStyle w:val="a9"/>
          <w:rtl/>
        </w:rPr>
        <w:commentReference w:id="3"/>
      </w:r>
      <w:r>
        <w:rPr>
          <w:rFonts w:hint="cs"/>
          <w:rtl/>
        </w:rPr>
        <w:t>.</w:t>
      </w:r>
    </w:p>
    <w:p w14:paraId="4DBB8269" w14:textId="77777777" w:rsidR="00AA59CD" w:rsidRDefault="00AA59CD" w:rsidP="00AA59CD">
      <w:pPr>
        <w:rPr>
          <w:rtl/>
        </w:rPr>
      </w:pPr>
    </w:p>
    <w:p w14:paraId="2D86CF3C" w14:textId="77777777" w:rsidR="008E1221" w:rsidRDefault="00AA59CD" w:rsidP="008E1221">
      <w:pPr>
        <w:rPr>
          <w:rtl/>
        </w:rPr>
      </w:pPr>
      <w:r>
        <w:rPr>
          <w:rFonts w:hint="cs"/>
          <w:rtl/>
        </w:rPr>
        <w:t>לכן מה שאני בא לטעון לגבי שיטת הקשירה של ר' יעקב נגן זה שאין שום עניין שנפגע מהשיטה.</w:t>
      </w:r>
      <w:r w:rsidR="008E1221">
        <w:rPr>
          <w:rtl/>
        </w:rPr>
        <w:br/>
      </w:r>
      <w:commentRangeStart w:id="4"/>
      <w:r>
        <w:rPr>
          <w:rFonts w:hint="cs"/>
          <w:rtl/>
        </w:rPr>
        <w:t>אני מקיים את מה שחשוב לרמב"ם, שיהיו 7 חוליות בתכלת.</w:t>
      </w:r>
      <w:commentRangeEnd w:id="4"/>
      <w:r w:rsidR="00B61BEC">
        <w:rPr>
          <w:rStyle w:val="a9"/>
          <w:rtl/>
        </w:rPr>
        <w:commentReference w:id="4"/>
      </w:r>
      <w:r w:rsidR="008E1221">
        <w:rPr>
          <w:rtl/>
        </w:rPr>
        <w:br/>
      </w:r>
      <w:r>
        <w:rPr>
          <w:rFonts w:hint="cs"/>
          <w:rtl/>
        </w:rPr>
        <w:t>אני מקיים את מה שחשוב לראב"ד,תוס' ר' עמרם גאון וכו'- אני משלב תכלת ולבן בתוך הכריכות</w:t>
      </w:r>
      <w:r w:rsidR="008E1221">
        <w:rPr>
          <w:rFonts w:hint="cs"/>
          <w:rtl/>
        </w:rPr>
        <w:t>.</w:t>
      </w:r>
      <w:r w:rsidR="008E1221">
        <w:rPr>
          <w:rtl/>
        </w:rPr>
        <w:br/>
      </w:r>
      <w:r w:rsidR="008E1221">
        <w:rPr>
          <w:rFonts w:hint="cs"/>
          <w:rtl/>
        </w:rPr>
        <w:t>ואני מקיים גם את עניין 39 הכריכות (13*3) שהיה נהוג בלבן.</w:t>
      </w:r>
      <w:commentRangeStart w:id="5"/>
      <w:r w:rsidR="008E1221">
        <w:rPr>
          <w:rStyle w:val="a7"/>
          <w:rtl/>
        </w:rPr>
        <w:footnoteReference w:id="1"/>
      </w:r>
      <w:commentRangeEnd w:id="5"/>
      <w:r w:rsidR="000460BA">
        <w:rPr>
          <w:rStyle w:val="a9"/>
          <w:rtl/>
        </w:rPr>
        <w:commentReference w:id="5"/>
      </w:r>
    </w:p>
    <w:p w14:paraId="27C90984" w14:textId="77777777" w:rsidR="008E1221" w:rsidRDefault="008E1221" w:rsidP="008E1221">
      <w:pPr>
        <w:rPr>
          <w:rtl/>
        </w:rPr>
      </w:pPr>
      <w:r>
        <w:rPr>
          <w:rFonts w:hint="cs"/>
          <w:rtl/>
        </w:rPr>
        <w:t>ובהנחה שאני גם מוסיף 5 קשרים כפולים כשיטת הגר"א או החינוך, אני מקיים גם את עניין חמשת הקשרים שנראה שהיה עקרוני לחלק מהשיטות.</w:t>
      </w:r>
    </w:p>
    <w:p w14:paraId="667EC2D3" w14:textId="77777777" w:rsidR="008E1221" w:rsidRDefault="008E1221" w:rsidP="008E1221">
      <w:pPr>
        <w:rPr>
          <w:rtl/>
        </w:rPr>
      </w:pPr>
    </w:p>
    <w:p w14:paraId="2805097F" w14:textId="77777777" w:rsidR="008E1221" w:rsidRDefault="00402E4B" w:rsidP="00402E4B">
      <w:pPr>
        <w:rPr>
          <w:rtl/>
        </w:rPr>
      </w:pPr>
      <w:r>
        <w:rPr>
          <w:rFonts w:hint="cs"/>
          <w:rtl/>
        </w:rPr>
        <w:t>מעבר</w:t>
      </w:r>
      <w:r w:rsidR="008E1221">
        <w:rPr>
          <w:rFonts w:hint="cs"/>
          <w:rtl/>
        </w:rPr>
        <w:t xml:space="preserve"> לזה, עברתי על דף לט במנחות והשיטה</w:t>
      </w:r>
      <w:r>
        <w:rPr>
          <w:rFonts w:hint="cs"/>
          <w:rtl/>
        </w:rPr>
        <w:t xml:space="preserve"> הנ"ל</w:t>
      </w:r>
      <w:r w:rsidR="008E1221">
        <w:rPr>
          <w:rFonts w:hint="cs"/>
          <w:rtl/>
        </w:rPr>
        <w:t xml:space="preserve"> עולה מהגמרא באותה רמה כמו שיטת ר' עמרם גאון, הרמב"ם או כ"א אחר. "וכמה שיעור חוליא..." </w:t>
      </w:r>
      <w:r w:rsidR="008E1221">
        <w:rPr>
          <w:rtl/>
        </w:rPr>
        <w:t>–</w:t>
      </w:r>
      <w:r w:rsidR="008E1221">
        <w:rPr>
          <w:rFonts w:hint="cs"/>
          <w:rtl/>
        </w:rPr>
        <w:t xml:space="preserve"> יש. "הפוחת לא יפחות משבע והמוסיף לא יוסיף על שלוש עשרה" </w:t>
      </w:r>
      <w:r w:rsidR="008E1221">
        <w:rPr>
          <w:rtl/>
        </w:rPr>
        <w:t>–</w:t>
      </w:r>
      <w:r w:rsidR="008E1221">
        <w:rPr>
          <w:rFonts w:hint="cs"/>
          <w:rtl/>
        </w:rPr>
        <w:t xml:space="preserve"> יש. מתחיל בלבן</w:t>
      </w:r>
      <w:r>
        <w:rPr>
          <w:rFonts w:hint="cs"/>
          <w:rtl/>
        </w:rPr>
        <w:t>.</w:t>
      </w:r>
      <w:r w:rsidR="008E1221">
        <w:rPr>
          <w:rFonts w:hint="cs"/>
          <w:rtl/>
        </w:rPr>
        <w:t xml:space="preserve"> מסיים בלבן.</w:t>
      </w:r>
    </w:p>
    <w:p w14:paraId="644A15BE" w14:textId="77777777" w:rsidR="008E1221" w:rsidRDefault="008E1221" w:rsidP="00402E4B">
      <w:pPr>
        <w:rPr>
          <w:rtl/>
        </w:rPr>
      </w:pPr>
      <w:r>
        <w:rPr>
          <w:rFonts w:hint="cs"/>
          <w:rtl/>
        </w:rPr>
        <w:t xml:space="preserve">יתרון אחד יש לשיטה הזאת על פני שיטת ר' עמרם גאון, שהיא גם </w:t>
      </w:r>
      <w:commentRangeStart w:id="6"/>
      <w:r>
        <w:rPr>
          <w:rFonts w:hint="cs"/>
          <w:rtl/>
        </w:rPr>
        <w:t>יושבת טוב עם הסיב</w:t>
      </w:r>
      <w:r w:rsidR="00402E4B">
        <w:rPr>
          <w:rFonts w:hint="cs"/>
          <w:rtl/>
        </w:rPr>
        <w:t>ה</w:t>
      </w:r>
      <w:r>
        <w:rPr>
          <w:rFonts w:hint="cs"/>
          <w:rtl/>
        </w:rPr>
        <w:t xml:space="preserve"> למספר 13 (רקיעים ואוירים) ביחד עם זה שתכלת דומה לרקיע. </w:t>
      </w:r>
      <w:commentRangeEnd w:id="6"/>
      <w:r w:rsidR="00CB45B3">
        <w:rPr>
          <w:rStyle w:val="a9"/>
          <w:rtl/>
        </w:rPr>
        <w:commentReference w:id="6"/>
      </w:r>
      <w:r w:rsidR="00402E4B">
        <w:rPr>
          <w:rFonts w:hint="cs"/>
          <w:rtl/>
        </w:rPr>
        <w:t>זה אמנם מה שגרם לי לחשוב על השיטה מלכתחילה, אבל אני מודה שזה לא העיקר.</w:t>
      </w:r>
    </w:p>
    <w:p w14:paraId="0930F43E" w14:textId="77777777" w:rsidR="00402E4B" w:rsidRDefault="00402E4B">
      <w:pPr>
        <w:bidi w:val="0"/>
        <w:rPr>
          <w:b/>
          <w:bCs/>
          <w:rtl/>
        </w:rPr>
      </w:pPr>
      <w:r>
        <w:rPr>
          <w:b/>
          <w:bCs/>
          <w:rtl/>
        </w:rPr>
        <w:br w:type="page"/>
      </w:r>
    </w:p>
    <w:p w14:paraId="36169650" w14:textId="77777777" w:rsidR="00402E4B" w:rsidRPr="0047462B" w:rsidRDefault="00402E4B" w:rsidP="0047462B">
      <w:pPr>
        <w:pStyle w:val="a8"/>
        <w:numPr>
          <w:ilvl w:val="0"/>
          <w:numId w:val="1"/>
        </w:numPr>
        <w:rPr>
          <w:b/>
          <w:bCs/>
          <w:rtl/>
        </w:rPr>
      </w:pPr>
      <w:r w:rsidRPr="0047462B">
        <w:rPr>
          <w:rFonts w:hint="cs"/>
          <w:b/>
          <w:bCs/>
          <w:rtl/>
        </w:rPr>
        <w:lastRenderedPageBreak/>
        <w:t>המקור לשיטה האשכנזית בלבן</w:t>
      </w:r>
      <w:r w:rsidR="0047462B">
        <w:rPr>
          <w:rStyle w:val="a7"/>
          <w:b/>
          <w:bCs/>
          <w:rtl/>
        </w:rPr>
        <w:footnoteReference w:id="2"/>
      </w:r>
    </w:p>
    <w:p w14:paraId="1B913FD9" w14:textId="77777777" w:rsidR="00402E4B" w:rsidRDefault="00402E4B" w:rsidP="00402E4B">
      <w:pPr>
        <w:pStyle w:val="a3"/>
        <w:rPr>
          <w:rtl/>
        </w:rPr>
      </w:pPr>
      <w:r w:rsidRPr="00402E4B">
        <w:rPr>
          <w:rFonts w:asciiTheme="minorHAnsi" w:eastAsiaTheme="minorHAnsi" w:hAnsiTheme="minorHAnsi" w:cs="Alef" w:hint="cs"/>
          <w:sz w:val="22"/>
          <w:szCs w:val="24"/>
          <w:rtl/>
          <w:lang w:eastAsia="en-US"/>
        </w:rPr>
        <w:t xml:space="preserve">במאמר נכתב: </w:t>
      </w:r>
      <w:r>
        <w:rPr>
          <w:rFonts w:hint="cs"/>
          <w:rtl/>
        </w:rPr>
        <w:t>"</w:t>
      </w:r>
      <w:r>
        <w:rPr>
          <w:rtl/>
        </w:rPr>
        <w:t>בעניין זה</w:t>
      </w:r>
      <w:r>
        <w:rPr>
          <w:rFonts w:hint="cs"/>
          <w:rtl/>
        </w:rPr>
        <w:t>,</w:t>
      </w:r>
      <w:r>
        <w:rPr>
          <w:rtl/>
        </w:rPr>
        <w:t xml:space="preserve"> </w:t>
      </w:r>
      <w:r>
        <w:rPr>
          <w:rFonts w:hint="cs"/>
          <w:rtl/>
        </w:rPr>
        <w:t xml:space="preserve">נראה לכאורה שהאשכנזים פסקו כראב"ד, שהרי </w:t>
      </w:r>
      <w:r>
        <w:rPr>
          <w:rtl/>
        </w:rPr>
        <w:t xml:space="preserve">המנהג המקובל אצל האשכנזים </w:t>
      </w:r>
      <w:r>
        <w:rPr>
          <w:rFonts w:hint="cs"/>
          <w:rtl/>
        </w:rPr>
        <w:t xml:space="preserve">הוא לכרוך בכל חוליא מספר כריכות, </w:t>
      </w:r>
      <w:r>
        <w:rPr>
          <w:rtl/>
        </w:rPr>
        <w:t>משבע ועד שלוש עשרה</w:t>
      </w:r>
      <w:r>
        <w:rPr>
          <w:rFonts w:hint="cs"/>
          <w:rtl/>
        </w:rPr>
        <w:t xml:space="preserve"> (7, 8, 11, 13). אך לאמיתו של דבר יש לדעת</w:t>
      </w:r>
      <w:r>
        <w:rPr>
          <w:rtl/>
        </w:rPr>
        <w:t xml:space="preserve">, </w:t>
      </w:r>
      <w:r>
        <w:rPr>
          <w:rFonts w:hint="cs"/>
          <w:rtl/>
        </w:rPr>
        <w:t>ש</w:t>
      </w:r>
      <w:r>
        <w:rPr>
          <w:rtl/>
        </w:rPr>
        <w:t>הפסיקה העקרונית היא דווקא כרמב"ם</w:t>
      </w:r>
      <w:r>
        <w:rPr>
          <w:rFonts w:hint="cs"/>
          <w:rtl/>
        </w:rPr>
        <w:t xml:space="preserve"> -</w:t>
      </w:r>
    </w:p>
    <w:p w14:paraId="2E4B37EF" w14:textId="77777777" w:rsidR="00402E4B" w:rsidRDefault="00402E4B" w:rsidP="00402E4B">
      <w:pPr>
        <w:pStyle w:val="a3"/>
        <w:rPr>
          <w:rtl/>
        </w:rPr>
      </w:pPr>
      <w:r>
        <w:rPr>
          <w:rtl/>
        </w:rPr>
        <w:t xml:space="preserve">מבואר בלשון השו"ע (סי' י"א סעיף י"ד), שמניין הכריכות הזה </w:t>
      </w:r>
      <w:r>
        <w:rPr>
          <w:rFonts w:hint="cs"/>
          <w:rtl/>
        </w:rPr>
        <w:t xml:space="preserve">משבע ועד שלוש עשרה </w:t>
      </w:r>
      <w:r>
        <w:rPr>
          <w:rtl/>
        </w:rPr>
        <w:t>הוא רק מנהג ואינו מחייב</w:t>
      </w:r>
      <w:r>
        <w:rPr>
          <w:rFonts w:hint="cs"/>
          <w:rtl/>
        </w:rPr>
        <w:t>. והמשנ"ב (שם ס"ק ע') מזכיר גם מנהג אחר (10, 5, 6, 5 - כיום מקובל אצל הספרדים), שלפיו ברוב החוליות יש פחות משבע כריכות.</w:t>
      </w:r>
      <w:r>
        <w:rPr>
          <w:rtl/>
        </w:rPr>
        <w:t xml:space="preserve"> </w:t>
      </w:r>
      <w:r>
        <w:rPr>
          <w:rFonts w:hint="cs"/>
          <w:rtl/>
        </w:rPr>
        <w:t xml:space="preserve">מצד עיקר הדין, פוסק </w:t>
      </w:r>
      <w:r>
        <w:rPr>
          <w:rtl/>
        </w:rPr>
        <w:t>המשנ"ב (שם ס"ק ס"ו), ש</w:t>
      </w:r>
      <w:r>
        <w:rPr>
          <w:rFonts w:hint="cs"/>
          <w:rtl/>
        </w:rPr>
        <w:t>ניתן להסתפק ב</w:t>
      </w:r>
      <w:r>
        <w:rPr>
          <w:rtl/>
        </w:rPr>
        <w:t xml:space="preserve">חוליה </w:t>
      </w:r>
      <w:r>
        <w:rPr>
          <w:rFonts w:hint="cs"/>
          <w:rtl/>
        </w:rPr>
        <w:t xml:space="preserve">אחת </w:t>
      </w:r>
      <w:r>
        <w:rPr>
          <w:rtl/>
        </w:rPr>
        <w:t xml:space="preserve">של שלוש כריכות בלבד, והציצית כשרה בכך. דהיינו, </w:t>
      </w:r>
      <w:r>
        <w:rPr>
          <w:rFonts w:hint="cs"/>
          <w:rtl/>
        </w:rPr>
        <w:t xml:space="preserve">שזו היא הפסיקה העקרונית, שבחוליה די בשלוש כריכות, כפרשנות הרמב"ם. ומה שנהגו להוסיף ולכרוך יותר מכך בכל חוליה, הוא מנהג בלבד. </w:t>
      </w:r>
      <w:r>
        <w:rPr>
          <w:rtl/>
        </w:rPr>
        <w:t xml:space="preserve">וממילא עולה, שהמספר "שבע עד שלוש עשרה" </w:t>
      </w:r>
      <w:r>
        <w:rPr>
          <w:rFonts w:hint="cs"/>
          <w:rtl/>
        </w:rPr>
        <w:t xml:space="preserve">שמופיע בגמרא </w:t>
      </w:r>
      <w:r>
        <w:rPr>
          <w:rtl/>
        </w:rPr>
        <w:t>מוסב על מספר החוליות</w:t>
      </w:r>
      <w:r>
        <w:rPr>
          <w:rFonts w:hint="cs"/>
          <w:rtl/>
        </w:rPr>
        <w:t>, אלא שבזמן שאין תכלת נהגו בפחות משבע חוליות</w:t>
      </w:r>
      <w:r>
        <w:rPr>
          <w:rtl/>
        </w:rPr>
        <w:t>.</w:t>
      </w:r>
      <w:r>
        <w:rPr>
          <w:rFonts w:hint="cs"/>
          <w:rtl/>
        </w:rPr>
        <w:t>"</w:t>
      </w:r>
    </w:p>
    <w:p w14:paraId="16AD85F9" w14:textId="77777777" w:rsidR="0092071C" w:rsidRDefault="00402E4B" w:rsidP="0092071C">
      <w:pPr>
        <w:rPr>
          <w:rtl/>
        </w:rPr>
      </w:pPr>
      <w:r>
        <w:rPr>
          <w:rFonts w:hint="cs"/>
          <w:rtl/>
        </w:rPr>
        <w:t xml:space="preserve">מפשט הראב"ד עולה שגודל החוליה הוא מספר אי זוגי של כריכות (מתחיל ומסיים בלבן, כריכות לסירוגין) בין 7 ל13. כלומר </w:t>
      </w:r>
      <w:r>
        <w:rPr>
          <w:rtl/>
        </w:rPr>
        <w:t>–</w:t>
      </w:r>
      <w:r>
        <w:rPr>
          <w:rFonts w:hint="cs"/>
          <w:rtl/>
        </w:rPr>
        <w:t xml:space="preserve"> 7,9,11,13. ושלכתחילה צריך לעשות 4 חוליות כאלה.</w:t>
      </w:r>
    </w:p>
    <w:p w14:paraId="19F95323" w14:textId="77777777" w:rsidR="0092071C" w:rsidRDefault="00402E4B" w:rsidP="0092071C">
      <w:pPr>
        <w:rPr>
          <w:rtl/>
        </w:rPr>
      </w:pPr>
      <w:r>
        <w:rPr>
          <w:rFonts w:hint="cs"/>
          <w:rtl/>
        </w:rPr>
        <w:t>באופן מעניין, זאת בדיוק שיטת השו"ע בהלכות ציצית.</w:t>
      </w:r>
    </w:p>
    <w:p w14:paraId="0CF7299A" w14:textId="77777777" w:rsidR="0092071C" w:rsidRDefault="00402E4B" w:rsidP="0092071C">
      <w:pPr>
        <w:rPr>
          <w:rtl/>
        </w:rPr>
      </w:pPr>
      <w:r>
        <w:rPr>
          <w:rFonts w:hint="cs"/>
          <w:rtl/>
        </w:rPr>
        <w:t xml:space="preserve">הסיבה המוזכרת בשו"ע </w:t>
      </w:r>
      <w:r>
        <w:rPr>
          <w:rtl/>
        </w:rPr>
        <w:t>–</w:t>
      </w:r>
      <w:r>
        <w:rPr>
          <w:rFonts w:hint="cs"/>
          <w:rtl/>
        </w:rPr>
        <w:t xml:space="preserve"> מנין "ה' אחד" עם הכולל.</w:t>
      </w:r>
      <w:r w:rsidR="0092071C">
        <w:rPr>
          <w:rFonts w:hint="cs"/>
          <w:rtl/>
        </w:rPr>
        <w:t xml:space="preserve"> </w:t>
      </w:r>
      <w:r w:rsidR="0047462B">
        <w:rPr>
          <w:rFonts w:hint="cs"/>
          <w:rtl/>
        </w:rPr>
        <w:t>המשנ"ב אומר שהמנהג שלנו הוא לעשות 7,8,11,13 וככ</w:t>
      </w:r>
      <w:r w:rsidR="0092071C">
        <w:rPr>
          <w:rFonts w:hint="cs"/>
          <w:rtl/>
        </w:rPr>
        <w:t>ה הוא משפץ את הגימטריה, ולא משתמש בטריק של "עם הכולל".</w:t>
      </w:r>
    </w:p>
    <w:p w14:paraId="0103C228" w14:textId="77777777" w:rsidR="0047462B" w:rsidRDefault="0047462B" w:rsidP="0047462B">
      <w:pPr>
        <w:rPr>
          <w:rtl/>
        </w:rPr>
      </w:pPr>
      <w:r>
        <w:rPr>
          <w:rFonts w:hint="cs"/>
          <w:rtl/>
        </w:rPr>
        <w:t>באופן מעניין, הראב"ד אומר ש"אין הקפדה" על מספר הליפופים בחוליה השניה. הראב"ד לא מנמק את האמירה, אבל אפשר להוציא מכל צירוף המקרים הזה השערה שאחרי שהופסק השימוש בתכלת, אבד הצורך לעשות דוקא מספר אי זוגי של ליפופים, והיה שווה לתקן את הגימטריא. את התיקון עשו בחוליה השניה, שבה אין הקפדה.</w:t>
      </w:r>
    </w:p>
    <w:p w14:paraId="083C1768" w14:textId="77777777" w:rsidR="0092071C" w:rsidRDefault="0092071C" w:rsidP="0047462B">
      <w:pPr>
        <w:rPr>
          <w:rtl/>
        </w:rPr>
      </w:pPr>
    </w:p>
    <w:p w14:paraId="045A9DF8" w14:textId="77777777" w:rsidR="0092071C" w:rsidRDefault="0092071C" w:rsidP="0092071C">
      <w:pPr>
        <w:rPr>
          <w:rtl/>
        </w:rPr>
      </w:pPr>
      <w:r>
        <w:rPr>
          <w:rFonts w:hint="cs"/>
          <w:rtl/>
        </w:rPr>
        <w:t>בסופו של דבר, ההשערה אומרת שהשיטה המקורית הייתה שיטת הראב"ד (שהוא מייחס לרב נטרונאי גאון) בשינויים קלים. כשהופסק השימוש בתכלת, המשיכו לקשור באותה צורה (הסיבה העיקרית להגיד את זה היא כי אין שום עדות לכך שקרה משהו אחר), ובהמשך "תיקנו" בהתאם לגימטריה.</w:t>
      </w:r>
    </w:p>
    <w:p w14:paraId="236AE004" w14:textId="77777777" w:rsidR="00200866" w:rsidRDefault="0092071C" w:rsidP="0047462B">
      <w:r>
        <w:rPr>
          <w:rFonts w:hint="cs"/>
          <w:rtl/>
        </w:rPr>
        <w:t>זאת השערה שהתחברתי אליה מאוד והייתי שמח לשמוע את דעתך עליה</w:t>
      </w:r>
      <w:commentRangeStart w:id="7"/>
      <w:r>
        <w:rPr>
          <w:rFonts w:hint="cs"/>
          <w:rtl/>
        </w:rPr>
        <w:t>.</w:t>
      </w:r>
      <w:commentRangeEnd w:id="7"/>
      <w:r w:rsidR="0045716D">
        <w:rPr>
          <w:rStyle w:val="a9"/>
          <w:rtl/>
        </w:rPr>
        <w:commentReference w:id="7"/>
      </w:r>
    </w:p>
    <w:p w14:paraId="5620BC07" w14:textId="77777777" w:rsidR="00200866" w:rsidRDefault="00200866">
      <w:pPr>
        <w:bidi w:val="0"/>
      </w:pPr>
      <w:r>
        <w:br w:type="page"/>
      </w:r>
    </w:p>
    <w:p w14:paraId="40DA2E13" w14:textId="77777777" w:rsidR="0092071C" w:rsidRDefault="00200866" w:rsidP="00200866">
      <w:pPr>
        <w:pStyle w:val="a8"/>
        <w:numPr>
          <w:ilvl w:val="0"/>
          <w:numId w:val="1"/>
        </w:numPr>
        <w:rPr>
          <w:b/>
          <w:bCs/>
        </w:rPr>
      </w:pPr>
      <w:bookmarkStart w:id="8" w:name="_GoBack"/>
      <w:commentRangeStart w:id="9"/>
      <w:r>
        <w:rPr>
          <w:rFonts w:hint="cs"/>
          <w:b/>
          <w:bCs/>
          <w:rtl/>
        </w:rPr>
        <w:lastRenderedPageBreak/>
        <w:t>הוספת קשרים כפולים בהתחלה ובסוף לקושרים כשיטת הרמב"ם</w:t>
      </w:r>
      <w:bookmarkEnd w:id="8"/>
      <w:commentRangeEnd w:id="9"/>
      <w:r w:rsidR="00F850D3">
        <w:rPr>
          <w:rStyle w:val="a9"/>
          <w:rtl/>
        </w:rPr>
        <w:commentReference w:id="9"/>
      </w:r>
    </w:p>
    <w:p w14:paraId="0D2662AD" w14:textId="77777777" w:rsidR="00200866" w:rsidRDefault="00200866" w:rsidP="00200866">
      <w:pPr>
        <w:rPr>
          <w:rtl/>
        </w:rPr>
      </w:pPr>
      <w:r>
        <w:rPr>
          <w:rFonts w:hint="cs"/>
          <w:rtl/>
        </w:rPr>
        <w:t>הטענה: לקשור קשר כפול בסוף ציצית שקשורה כשיטת הרמב"ם כדי להחמיר ב'קשר עליון' זה מיותר. בחינת "תרתי דסתרי למתקדמים".</w:t>
      </w:r>
    </w:p>
    <w:p w14:paraId="14A43D2C" w14:textId="77777777" w:rsidR="00200866" w:rsidRDefault="00200866" w:rsidP="00200866">
      <w:pPr>
        <w:rPr>
          <w:rtl/>
        </w:rPr>
      </w:pPr>
      <w:r>
        <w:rPr>
          <w:rFonts w:hint="cs"/>
          <w:rtl/>
        </w:rPr>
        <w:t>יש 2 מחלוקות שאני רוצה להתייחס אליהן:</w:t>
      </w:r>
    </w:p>
    <w:p w14:paraId="7BCB8EE8" w14:textId="77777777" w:rsidR="00200866" w:rsidRDefault="00200866" w:rsidP="00200866">
      <w:pPr>
        <w:pStyle w:val="a8"/>
        <w:numPr>
          <w:ilvl w:val="0"/>
          <w:numId w:val="2"/>
        </w:numPr>
      </w:pPr>
      <w:r>
        <w:rPr>
          <w:rFonts w:hint="cs"/>
          <w:rtl/>
        </w:rPr>
        <w:t xml:space="preserve">מהו "קשר עליון" שהוא מדאורייתא </w:t>
      </w:r>
      <w:r>
        <w:rPr>
          <w:rtl/>
        </w:rPr>
        <w:t>–</w:t>
      </w:r>
      <w:r>
        <w:rPr>
          <w:rFonts w:hint="cs"/>
          <w:rtl/>
        </w:rPr>
        <w:t xml:space="preserve"> הקשר הקרוב לכנף או הרחוק?</w:t>
      </w:r>
    </w:p>
    <w:p w14:paraId="4B3656E3" w14:textId="77777777" w:rsidR="00200866" w:rsidRDefault="00200866" w:rsidP="00200866">
      <w:pPr>
        <w:pStyle w:val="a8"/>
        <w:numPr>
          <w:ilvl w:val="0"/>
          <w:numId w:val="2"/>
        </w:numPr>
      </w:pPr>
      <w:r>
        <w:rPr>
          <w:rFonts w:hint="cs"/>
          <w:rtl/>
        </w:rPr>
        <w:t>האם חוליה של הרמב"ם נחשבת קשר לעניין הזה?</w:t>
      </w:r>
    </w:p>
    <w:p w14:paraId="7EB01EFF" w14:textId="77777777" w:rsidR="00200866" w:rsidRDefault="00200866" w:rsidP="00200866">
      <w:pPr>
        <w:rPr>
          <w:rtl/>
        </w:rPr>
      </w:pPr>
      <w:r>
        <w:rPr>
          <w:rFonts w:hint="cs"/>
          <w:rtl/>
        </w:rPr>
        <w:t>לגבי קשר עליון כתוב שהסיבה שהוא מדאורייתא היא "</w:t>
      </w:r>
      <w:r w:rsidRPr="005319D0">
        <w:rPr>
          <w:rtl/>
        </w:rPr>
        <w:t>כי</w:t>
      </w:r>
      <w:r>
        <w:rPr>
          <w:rtl/>
        </w:rPr>
        <w:t>ון דאישתרי עילאי – אישתרו כולהו</w:t>
      </w:r>
      <w:r>
        <w:rPr>
          <w:rFonts w:hint="cs"/>
          <w:rtl/>
        </w:rPr>
        <w:t xml:space="preserve">" </w:t>
      </w:r>
      <w:r>
        <w:rPr>
          <w:rtl/>
        </w:rPr>
        <w:t>–</w:t>
      </w:r>
      <w:r>
        <w:rPr>
          <w:rFonts w:hint="cs"/>
          <w:rtl/>
        </w:rPr>
        <w:t xml:space="preserve"> כלומר, הסיבה שקשר עליון דאורייתא היא כי אם הוא נפתח, הכל נפתח.</w:t>
      </w:r>
    </w:p>
    <w:p w14:paraId="45A2295A" w14:textId="77777777" w:rsidR="00200866" w:rsidRDefault="00200866" w:rsidP="00200866">
      <w:pPr>
        <w:rPr>
          <w:rtl/>
        </w:rPr>
      </w:pPr>
      <w:r>
        <w:rPr>
          <w:rFonts w:hint="cs"/>
          <w:rtl/>
        </w:rPr>
        <w:t xml:space="preserve">למי שמסביר שקשר עליון זה הקשר הקרוב לבגד, זה ברור </w:t>
      </w:r>
      <w:r>
        <w:rPr>
          <w:rtl/>
        </w:rPr>
        <w:t>–</w:t>
      </w:r>
      <w:r>
        <w:rPr>
          <w:rFonts w:hint="cs"/>
          <w:rtl/>
        </w:rPr>
        <w:t xml:space="preserve"> אם גם את הקשר הזה אין, אין כלום. זה רק חוטים שמושחלים בכנף הבגד וזה לא ציצית.</w:t>
      </w:r>
    </w:p>
    <w:p w14:paraId="79194054" w14:textId="77777777" w:rsidR="00200866" w:rsidRDefault="00200866" w:rsidP="00200866">
      <w:pPr>
        <w:rPr>
          <w:rtl/>
        </w:rPr>
      </w:pPr>
      <w:r>
        <w:rPr>
          <w:rFonts w:hint="cs"/>
          <w:rtl/>
        </w:rPr>
        <w:t xml:space="preserve">למי שמסביר שהקשר העליון הוא דווקא הקשר הרחוק מהבגד, נצטרך להסביר שהוא מדבר במקרה של חוליה אחת כשיטת הראב"ד או כשיטה האשכנזית המקובלת בלבן, ואז כשנפתח הקשר החוליה מתפרקת ולא יכולה להחזיק את עצמה. (במקרה של ריבוי חוליות, כמו שבלבן נהגו לעשות 4 חוליות של 7,8,11,13, יש "כמה קשרים עליונים" </w:t>
      </w:r>
      <w:r>
        <w:rPr>
          <w:rtl/>
        </w:rPr>
        <w:t>–</w:t>
      </w:r>
      <w:r>
        <w:rPr>
          <w:rFonts w:hint="cs"/>
          <w:rtl/>
        </w:rPr>
        <w:t xml:space="preserve"> אם אחד נפתח אז הבא אחריו מתפקד כקשר עליון).</w:t>
      </w:r>
    </w:p>
    <w:p w14:paraId="58C5C02A" w14:textId="77777777" w:rsidR="00200866" w:rsidRDefault="00200866" w:rsidP="00200866">
      <w:pPr>
        <w:rPr>
          <w:rtl/>
        </w:rPr>
      </w:pPr>
    </w:p>
    <w:p w14:paraId="3569E998" w14:textId="77777777" w:rsidR="00200866" w:rsidRDefault="00200866" w:rsidP="00200866">
      <w:pPr>
        <w:rPr>
          <w:rtl/>
        </w:rPr>
      </w:pPr>
      <w:r>
        <w:rPr>
          <w:rFonts w:hint="cs"/>
          <w:rtl/>
        </w:rPr>
        <w:t>הרמב"ם פוסק (ממה שאני זוכר זה מופיע בשו"ת הרמב"ם כתשובה לחכמי לוניל, אבל לא מצאתי) שהחוליה שלו, שיש בה קשירה, נחשבת קשר לעניין "קושר על כל חוליה וחוליה" וממילא גם לקשר עליון.</w:t>
      </w:r>
    </w:p>
    <w:p w14:paraId="3B3339FF" w14:textId="77777777" w:rsidR="00200866" w:rsidRDefault="00200866" w:rsidP="00200866">
      <w:pPr>
        <w:rPr>
          <w:rtl/>
        </w:rPr>
      </w:pPr>
      <w:r>
        <w:rPr>
          <w:rFonts w:hint="cs"/>
          <w:rtl/>
        </w:rPr>
        <w:t>מי שטוען שהקשר העליון הוא הקרוב לכנף, יכול לטעון שהחוליה אינה קשר כי היא לא משלבת את כל החוטים, וחלק מהם עדיין "חופשיים" בתוך הקשר, ולכן אנחנו עדיין במצב של "חוטים מושחלים בכנף" כי חלק מהחוטים לא מחוברים אליה. לכן, לפי מי שחולק על הרמב"ם לגבי זה, זה יחשב כבגד עם 4 כנפות בלי ציצית וכביטול מצוות עשה בידיים.</w:t>
      </w:r>
    </w:p>
    <w:p w14:paraId="3744B3F2" w14:textId="77777777" w:rsidR="00200866" w:rsidRDefault="00200866" w:rsidP="00200866">
      <w:pPr>
        <w:rPr>
          <w:rtl/>
        </w:rPr>
      </w:pPr>
      <w:r>
        <w:rPr>
          <w:rFonts w:hint="cs"/>
          <w:rtl/>
        </w:rPr>
        <w:t>לעומת זאת, מי שטוען שהקשר העליון הוא הרחוק לא יכול לדבר על איגוד החוטים או משהו כזה. מבחינתו כל העניין זה להחזיק את החוליות שלא יתפרקו, וחוליית רמב"ם עונה על הצורך הזה אפילו טוב יותר מקשר כפול עם כל החוטים (וכראיה לדבר- בציציות אשכנזיות לצורך העניין, לפעמים הקשר הכפול שבסוף מתרופף ואז הרבה אנשים פותרים את הבעיה בהוספה של חוליית רמב"ם בסוף כדי לשמור על הקשר, כי היא לא נפתחת אף פעם, לכן נראה לי אבסורד להוסיף קשר כפול כדי לשמור על חוליית רמב"ם), מה גם שכשכל הציצית קשורה בחוליות רמב"ם, אין לפתיחה של חוליה אחת שום השפעה על שאר החוליות.</w:t>
      </w:r>
    </w:p>
    <w:p w14:paraId="61B80941" w14:textId="77777777" w:rsidR="00200866" w:rsidRPr="00200866" w:rsidRDefault="00200866" w:rsidP="00200866"/>
    <w:sectPr w:rsidR="00200866" w:rsidRPr="00200866" w:rsidSect="00472605">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שמואל אריאל" w:date="2019-05-08T16:10:00Z" w:initials="ש.א.">
    <w:p w14:paraId="1C99178A" w14:textId="77777777" w:rsidR="00FE62C3" w:rsidRDefault="00FE62C3">
      <w:pPr>
        <w:pStyle w:val="aa"/>
      </w:pPr>
      <w:r>
        <w:rPr>
          <w:rStyle w:val="a9"/>
        </w:rPr>
        <w:annotationRef/>
      </w:r>
      <w:r>
        <w:rPr>
          <w:rFonts w:hint="cs"/>
          <w:rtl/>
        </w:rPr>
        <w:t>כוונתך לכריכות בתכלת?</w:t>
      </w:r>
    </w:p>
  </w:comment>
  <w:comment w:id="1" w:author="שמואל אריאל" w:date="2019-05-08T16:12:00Z" w:initials="ש.א.">
    <w:p w14:paraId="3828C11B" w14:textId="77777777" w:rsidR="00FE62C3" w:rsidRDefault="00FE62C3">
      <w:pPr>
        <w:pStyle w:val="aa"/>
        <w:rPr>
          <w:rtl/>
        </w:rPr>
      </w:pPr>
      <w:r>
        <w:rPr>
          <w:rStyle w:val="a9"/>
        </w:rPr>
        <w:annotationRef/>
      </w:r>
      <w:r>
        <w:rPr>
          <w:rFonts w:hint="cs"/>
          <w:rtl/>
        </w:rPr>
        <w:t>זו לשון הרמב"ם:</w:t>
      </w:r>
    </w:p>
    <w:p w14:paraId="0E84F696" w14:textId="77777777" w:rsidR="0058706A" w:rsidRDefault="0058706A" w:rsidP="0058706A">
      <w:pPr>
        <w:pStyle w:val="aa"/>
        <w:rPr>
          <w:rtl/>
        </w:rPr>
      </w:pPr>
      <w:r>
        <w:rPr>
          <w:rFonts w:hint="cs"/>
          <w:rtl/>
        </w:rPr>
        <w:t>רמב</w:t>
      </w:r>
      <w:r>
        <w:rPr>
          <w:rtl/>
        </w:rPr>
        <w:t>"</w:t>
      </w:r>
      <w:r>
        <w:rPr>
          <w:rFonts w:hint="cs"/>
          <w:rtl/>
        </w:rPr>
        <w:t>ם</w:t>
      </w:r>
      <w:r>
        <w:rPr>
          <w:rtl/>
        </w:rPr>
        <w:t xml:space="preserve"> </w:t>
      </w:r>
      <w:r>
        <w:rPr>
          <w:rFonts w:hint="cs"/>
          <w:rtl/>
        </w:rPr>
        <w:t>ציצית</w:t>
      </w:r>
      <w:r>
        <w:rPr>
          <w:rtl/>
        </w:rPr>
        <w:t xml:space="preserve"> </w:t>
      </w:r>
      <w:r>
        <w:rPr>
          <w:rFonts w:hint="cs"/>
          <w:rtl/>
        </w:rPr>
        <w:t>א</w:t>
      </w:r>
      <w:r>
        <w:rPr>
          <w:rtl/>
        </w:rPr>
        <w:t>'</w:t>
      </w:r>
    </w:p>
    <w:p w14:paraId="1DF4A0CD" w14:textId="77777777" w:rsidR="0058706A" w:rsidRDefault="0058706A" w:rsidP="0058706A">
      <w:pPr>
        <w:pStyle w:val="aa"/>
        <w:rPr>
          <w:rtl/>
        </w:rPr>
      </w:pPr>
      <w:r>
        <w:rPr>
          <w:rFonts w:hint="cs"/>
          <w:rtl/>
        </w:rPr>
        <w:t>הלכה</w:t>
      </w:r>
      <w:r>
        <w:rPr>
          <w:rtl/>
        </w:rPr>
        <w:t xml:space="preserve"> </w:t>
      </w:r>
      <w:r>
        <w:rPr>
          <w:rFonts w:hint="cs"/>
          <w:rtl/>
        </w:rPr>
        <w:t>א</w:t>
      </w:r>
    </w:p>
    <w:p w14:paraId="4CC996D0" w14:textId="77777777" w:rsidR="0058706A" w:rsidRDefault="0058706A" w:rsidP="0058706A">
      <w:pPr>
        <w:pStyle w:val="aa"/>
        <w:rPr>
          <w:rtl/>
        </w:rPr>
      </w:pPr>
      <w:r w:rsidRPr="0058706A">
        <w:rPr>
          <w:rFonts w:hint="cs"/>
          <w:u w:val="single"/>
          <w:rtl/>
        </w:rPr>
        <w:t>ענף</w:t>
      </w:r>
      <w:r w:rsidRPr="0058706A">
        <w:rPr>
          <w:u w:val="single"/>
          <w:rtl/>
        </w:rPr>
        <w:t xml:space="preserve"> </w:t>
      </w:r>
      <w:r>
        <w:rPr>
          <w:rFonts w:hint="cs"/>
          <w:rtl/>
        </w:rPr>
        <w:t>שעושין</w:t>
      </w:r>
      <w:r>
        <w:rPr>
          <w:rtl/>
        </w:rPr>
        <w:t xml:space="preserve"> </w:t>
      </w:r>
      <w:r>
        <w:rPr>
          <w:rFonts w:hint="cs"/>
          <w:rtl/>
        </w:rPr>
        <w:t>על</w:t>
      </w:r>
      <w:r>
        <w:rPr>
          <w:rtl/>
        </w:rPr>
        <w:t xml:space="preserve"> </w:t>
      </w:r>
      <w:r>
        <w:rPr>
          <w:rFonts w:hint="cs"/>
          <w:rtl/>
        </w:rPr>
        <w:t>כנף</w:t>
      </w:r>
      <w:r>
        <w:rPr>
          <w:rtl/>
        </w:rPr>
        <w:t xml:space="preserve"> </w:t>
      </w:r>
      <w:r>
        <w:rPr>
          <w:rFonts w:hint="cs"/>
          <w:rtl/>
        </w:rPr>
        <w:t>הבגד</w:t>
      </w:r>
      <w:r>
        <w:rPr>
          <w:rtl/>
        </w:rPr>
        <w:t xml:space="preserve"> </w:t>
      </w:r>
      <w:r>
        <w:rPr>
          <w:rFonts w:hint="cs"/>
          <w:rtl/>
        </w:rPr>
        <w:t>ממין</w:t>
      </w:r>
      <w:r>
        <w:rPr>
          <w:rtl/>
        </w:rPr>
        <w:t xml:space="preserve"> </w:t>
      </w:r>
      <w:r>
        <w:rPr>
          <w:rFonts w:hint="cs"/>
          <w:rtl/>
        </w:rPr>
        <w:t>הבגד</w:t>
      </w:r>
      <w:r>
        <w:rPr>
          <w:rtl/>
        </w:rPr>
        <w:t xml:space="preserve"> </w:t>
      </w:r>
      <w:r>
        <w:rPr>
          <w:rFonts w:hint="cs"/>
          <w:rtl/>
        </w:rPr>
        <w:t>הוא</w:t>
      </w:r>
      <w:r>
        <w:rPr>
          <w:rtl/>
        </w:rPr>
        <w:t xml:space="preserve"> </w:t>
      </w:r>
      <w:r>
        <w:rPr>
          <w:rFonts w:hint="cs"/>
          <w:rtl/>
        </w:rPr>
        <w:t>הנקרא</w:t>
      </w:r>
      <w:r>
        <w:rPr>
          <w:rtl/>
        </w:rPr>
        <w:t xml:space="preserve"> </w:t>
      </w:r>
      <w:r>
        <w:rPr>
          <w:rFonts w:hint="cs"/>
          <w:rtl/>
        </w:rPr>
        <w:t>ציצית</w:t>
      </w:r>
      <w:r>
        <w:rPr>
          <w:rtl/>
        </w:rPr>
        <w:t xml:space="preserve"> </w:t>
      </w:r>
      <w:r>
        <w:rPr>
          <w:rFonts w:hint="cs"/>
          <w:rtl/>
        </w:rPr>
        <w:t>מפני</w:t>
      </w:r>
      <w:r>
        <w:rPr>
          <w:rtl/>
        </w:rPr>
        <w:t xml:space="preserve"> </w:t>
      </w:r>
      <w:r>
        <w:rPr>
          <w:rFonts w:hint="cs"/>
          <w:rtl/>
        </w:rPr>
        <w:t>שהוא</w:t>
      </w:r>
      <w:r>
        <w:rPr>
          <w:rtl/>
        </w:rPr>
        <w:t xml:space="preserve"> </w:t>
      </w:r>
      <w:r>
        <w:rPr>
          <w:rFonts w:hint="cs"/>
          <w:rtl/>
        </w:rPr>
        <w:t>דומה</w:t>
      </w:r>
      <w:r>
        <w:rPr>
          <w:rtl/>
        </w:rPr>
        <w:t xml:space="preserve"> </w:t>
      </w:r>
      <w:r>
        <w:rPr>
          <w:rFonts w:hint="cs"/>
          <w:rtl/>
        </w:rPr>
        <w:t>לציצית</w:t>
      </w:r>
      <w:r>
        <w:rPr>
          <w:rtl/>
        </w:rPr>
        <w:t xml:space="preserve"> </w:t>
      </w:r>
      <w:r>
        <w:rPr>
          <w:rFonts w:hint="cs"/>
          <w:rtl/>
        </w:rPr>
        <w:t>של</w:t>
      </w:r>
      <w:r>
        <w:rPr>
          <w:rtl/>
        </w:rPr>
        <w:t xml:space="preserve"> </w:t>
      </w:r>
      <w:r>
        <w:rPr>
          <w:rFonts w:hint="cs"/>
          <w:rtl/>
        </w:rPr>
        <w:t>ראש</w:t>
      </w:r>
      <w:r>
        <w:rPr>
          <w:rtl/>
        </w:rPr>
        <w:t xml:space="preserve">, </w:t>
      </w:r>
      <w:r>
        <w:rPr>
          <w:rFonts w:hint="cs"/>
          <w:rtl/>
        </w:rPr>
        <w:t>שנאמר</w:t>
      </w:r>
      <w:r>
        <w:rPr>
          <w:rtl/>
        </w:rPr>
        <w:t xml:space="preserve"> </w:t>
      </w:r>
      <w:r>
        <w:rPr>
          <w:rFonts w:hint="cs"/>
          <w:rtl/>
        </w:rPr>
        <w:t>ויקחני</w:t>
      </w:r>
      <w:r>
        <w:rPr>
          <w:rtl/>
        </w:rPr>
        <w:t xml:space="preserve"> </w:t>
      </w:r>
      <w:r>
        <w:rPr>
          <w:rFonts w:hint="cs"/>
          <w:rtl/>
        </w:rPr>
        <w:t>בציצית</w:t>
      </w:r>
      <w:r>
        <w:rPr>
          <w:rtl/>
        </w:rPr>
        <w:t xml:space="preserve"> </w:t>
      </w:r>
      <w:r>
        <w:rPr>
          <w:rFonts w:hint="cs"/>
          <w:rtl/>
        </w:rPr>
        <w:t>ראשי</w:t>
      </w:r>
      <w:r>
        <w:rPr>
          <w:rtl/>
        </w:rPr>
        <w:t xml:space="preserve">, </w:t>
      </w:r>
      <w:r>
        <w:rPr>
          <w:rFonts w:hint="cs"/>
          <w:rtl/>
        </w:rPr>
        <w:t>וזה</w:t>
      </w:r>
      <w:r>
        <w:rPr>
          <w:rtl/>
        </w:rPr>
        <w:t xml:space="preserve"> </w:t>
      </w:r>
      <w:r>
        <w:rPr>
          <w:rFonts w:hint="cs"/>
          <w:rtl/>
        </w:rPr>
        <w:t>הענף</w:t>
      </w:r>
      <w:r>
        <w:rPr>
          <w:rtl/>
        </w:rPr>
        <w:t xml:space="preserve"> </w:t>
      </w:r>
      <w:r>
        <w:rPr>
          <w:rFonts w:hint="cs"/>
          <w:rtl/>
        </w:rPr>
        <w:t>הוא</w:t>
      </w:r>
      <w:r>
        <w:rPr>
          <w:rtl/>
        </w:rPr>
        <w:t xml:space="preserve"> </w:t>
      </w:r>
      <w:r>
        <w:rPr>
          <w:rFonts w:hint="cs"/>
          <w:rtl/>
        </w:rPr>
        <w:t>הנקרא</w:t>
      </w:r>
      <w:r>
        <w:rPr>
          <w:rtl/>
        </w:rPr>
        <w:t xml:space="preserve"> </w:t>
      </w:r>
      <w:r>
        <w:rPr>
          <w:rFonts w:hint="cs"/>
          <w:rtl/>
        </w:rPr>
        <w:t>לבן</w:t>
      </w:r>
      <w:r>
        <w:rPr>
          <w:rtl/>
        </w:rPr>
        <w:t xml:space="preserve"> </w:t>
      </w:r>
      <w:r>
        <w:rPr>
          <w:rFonts w:hint="cs"/>
          <w:rtl/>
        </w:rPr>
        <w:t>מפני</w:t>
      </w:r>
      <w:r>
        <w:rPr>
          <w:rtl/>
        </w:rPr>
        <w:t xml:space="preserve"> </w:t>
      </w:r>
      <w:r>
        <w:rPr>
          <w:rFonts w:hint="cs"/>
          <w:rtl/>
        </w:rPr>
        <w:t>שאין</w:t>
      </w:r>
      <w:r>
        <w:rPr>
          <w:rtl/>
        </w:rPr>
        <w:t xml:space="preserve"> </w:t>
      </w:r>
      <w:r>
        <w:rPr>
          <w:rFonts w:hint="cs"/>
          <w:rtl/>
        </w:rPr>
        <w:t>אנו</w:t>
      </w:r>
      <w:r>
        <w:rPr>
          <w:rtl/>
        </w:rPr>
        <w:t xml:space="preserve"> </w:t>
      </w:r>
      <w:r>
        <w:rPr>
          <w:rFonts w:hint="cs"/>
          <w:rtl/>
        </w:rPr>
        <w:t>מצווין</w:t>
      </w:r>
      <w:r>
        <w:rPr>
          <w:rtl/>
        </w:rPr>
        <w:t xml:space="preserve"> </w:t>
      </w:r>
      <w:r>
        <w:rPr>
          <w:rFonts w:hint="cs"/>
          <w:rtl/>
        </w:rPr>
        <w:t>לצובעו</w:t>
      </w:r>
      <w:r>
        <w:rPr>
          <w:rtl/>
        </w:rPr>
        <w:t xml:space="preserve">, </w:t>
      </w:r>
      <w:r>
        <w:rPr>
          <w:rFonts w:hint="cs"/>
          <w:rtl/>
        </w:rPr>
        <w:t>ואין</w:t>
      </w:r>
      <w:r>
        <w:rPr>
          <w:rtl/>
        </w:rPr>
        <w:t xml:space="preserve"> </w:t>
      </w:r>
      <w:r>
        <w:rPr>
          <w:rFonts w:hint="cs"/>
          <w:rtl/>
        </w:rPr>
        <w:t>לחוטי</w:t>
      </w:r>
      <w:r>
        <w:rPr>
          <w:rtl/>
        </w:rPr>
        <w:t xml:space="preserve"> </w:t>
      </w:r>
      <w:r>
        <w:rPr>
          <w:rFonts w:hint="cs"/>
          <w:rtl/>
        </w:rPr>
        <w:t>הענף</w:t>
      </w:r>
      <w:r>
        <w:rPr>
          <w:rtl/>
        </w:rPr>
        <w:t xml:space="preserve"> </w:t>
      </w:r>
      <w:r>
        <w:rPr>
          <w:rFonts w:hint="cs"/>
          <w:rtl/>
        </w:rPr>
        <w:t>מנין</w:t>
      </w:r>
      <w:r>
        <w:rPr>
          <w:rtl/>
        </w:rPr>
        <w:t xml:space="preserve"> </w:t>
      </w:r>
      <w:r>
        <w:rPr>
          <w:rFonts w:hint="cs"/>
          <w:rtl/>
        </w:rPr>
        <w:t>מן</w:t>
      </w:r>
      <w:r>
        <w:rPr>
          <w:rtl/>
        </w:rPr>
        <w:t xml:space="preserve"> </w:t>
      </w:r>
      <w:r>
        <w:rPr>
          <w:rFonts w:hint="cs"/>
          <w:rtl/>
        </w:rPr>
        <w:t>התורה</w:t>
      </w:r>
      <w:r>
        <w:rPr>
          <w:rtl/>
        </w:rPr>
        <w:t xml:space="preserve">. </w:t>
      </w:r>
    </w:p>
    <w:p w14:paraId="6CAB8832" w14:textId="77777777" w:rsidR="0058706A" w:rsidRDefault="0058706A" w:rsidP="0058706A">
      <w:pPr>
        <w:pStyle w:val="aa"/>
        <w:rPr>
          <w:rtl/>
        </w:rPr>
      </w:pPr>
      <w:r>
        <w:rPr>
          <w:rFonts w:hint="cs"/>
          <w:rtl/>
        </w:rPr>
        <w:t>הלכה</w:t>
      </w:r>
      <w:r>
        <w:rPr>
          <w:rtl/>
        </w:rPr>
        <w:t xml:space="preserve"> </w:t>
      </w:r>
      <w:r>
        <w:rPr>
          <w:rFonts w:hint="cs"/>
          <w:rtl/>
        </w:rPr>
        <w:t>ב</w:t>
      </w:r>
    </w:p>
    <w:p w14:paraId="0B94CFD1" w14:textId="77777777" w:rsidR="0058706A" w:rsidRDefault="0058706A" w:rsidP="0058706A">
      <w:pPr>
        <w:pStyle w:val="aa"/>
        <w:rPr>
          <w:rtl/>
        </w:rPr>
      </w:pPr>
      <w:r>
        <w:rPr>
          <w:rFonts w:hint="cs"/>
          <w:rtl/>
        </w:rPr>
        <w:t>ולוקחין</w:t>
      </w:r>
      <w:r>
        <w:rPr>
          <w:rtl/>
        </w:rPr>
        <w:t xml:space="preserve"> </w:t>
      </w:r>
      <w:r>
        <w:rPr>
          <w:rFonts w:hint="cs"/>
          <w:rtl/>
        </w:rPr>
        <w:t>חוט</w:t>
      </w:r>
      <w:r>
        <w:rPr>
          <w:rtl/>
        </w:rPr>
        <w:t xml:space="preserve"> </w:t>
      </w:r>
      <w:r>
        <w:rPr>
          <w:rFonts w:hint="cs"/>
          <w:rtl/>
        </w:rPr>
        <w:t>צמר</w:t>
      </w:r>
      <w:r>
        <w:rPr>
          <w:rtl/>
        </w:rPr>
        <w:t xml:space="preserve"> </w:t>
      </w:r>
      <w:r>
        <w:rPr>
          <w:rFonts w:hint="cs"/>
          <w:rtl/>
        </w:rPr>
        <w:t>שנצבע</w:t>
      </w:r>
      <w:r>
        <w:rPr>
          <w:rtl/>
        </w:rPr>
        <w:t xml:space="preserve"> </w:t>
      </w:r>
      <w:r>
        <w:rPr>
          <w:rFonts w:hint="cs"/>
          <w:rtl/>
        </w:rPr>
        <w:t>כעין</w:t>
      </w:r>
      <w:r>
        <w:rPr>
          <w:rtl/>
        </w:rPr>
        <w:t xml:space="preserve"> </w:t>
      </w:r>
      <w:r>
        <w:rPr>
          <w:rFonts w:hint="cs"/>
          <w:rtl/>
        </w:rPr>
        <w:t>הרקיע</w:t>
      </w:r>
      <w:r>
        <w:rPr>
          <w:rtl/>
        </w:rPr>
        <w:t xml:space="preserve"> </w:t>
      </w:r>
      <w:r w:rsidRPr="0058706A">
        <w:rPr>
          <w:rFonts w:hint="cs"/>
          <w:u w:val="single"/>
          <w:rtl/>
        </w:rPr>
        <w:t>וכורכין</w:t>
      </w:r>
      <w:r w:rsidRPr="0058706A">
        <w:rPr>
          <w:u w:val="single"/>
          <w:rtl/>
        </w:rPr>
        <w:t xml:space="preserve"> </w:t>
      </w:r>
      <w:r w:rsidRPr="0058706A">
        <w:rPr>
          <w:rFonts w:hint="cs"/>
          <w:u w:val="single"/>
          <w:rtl/>
        </w:rPr>
        <w:t>אותו</w:t>
      </w:r>
      <w:r w:rsidRPr="0058706A">
        <w:rPr>
          <w:u w:val="single"/>
          <w:rtl/>
        </w:rPr>
        <w:t xml:space="preserve"> </w:t>
      </w:r>
      <w:r w:rsidRPr="0058706A">
        <w:rPr>
          <w:rFonts w:hint="cs"/>
          <w:u w:val="single"/>
          <w:rtl/>
        </w:rPr>
        <w:t>על</w:t>
      </w:r>
      <w:r w:rsidRPr="0058706A">
        <w:rPr>
          <w:u w:val="single"/>
          <w:rtl/>
        </w:rPr>
        <w:t xml:space="preserve"> </w:t>
      </w:r>
      <w:r w:rsidRPr="0058706A">
        <w:rPr>
          <w:rFonts w:hint="cs"/>
          <w:u w:val="single"/>
          <w:rtl/>
        </w:rPr>
        <w:t>הענף</w:t>
      </w:r>
      <w:r w:rsidRPr="0058706A">
        <w:rPr>
          <w:u w:val="single"/>
          <w:rtl/>
        </w:rPr>
        <w:t xml:space="preserve"> </w:t>
      </w:r>
      <w:r>
        <w:rPr>
          <w:rFonts w:hint="cs"/>
          <w:rtl/>
        </w:rPr>
        <w:t>וחוט</w:t>
      </w:r>
      <w:r>
        <w:rPr>
          <w:rtl/>
        </w:rPr>
        <w:t xml:space="preserve"> </w:t>
      </w:r>
      <w:r>
        <w:rPr>
          <w:rFonts w:hint="cs"/>
          <w:rtl/>
        </w:rPr>
        <w:t>זה</w:t>
      </w:r>
      <w:r>
        <w:rPr>
          <w:rtl/>
        </w:rPr>
        <w:t xml:space="preserve"> </w:t>
      </w:r>
      <w:r>
        <w:rPr>
          <w:rFonts w:hint="cs"/>
          <w:rtl/>
        </w:rPr>
        <w:t>הוא</w:t>
      </w:r>
      <w:r>
        <w:rPr>
          <w:rtl/>
        </w:rPr>
        <w:t xml:space="preserve"> </w:t>
      </w:r>
      <w:r>
        <w:rPr>
          <w:rFonts w:hint="cs"/>
          <w:rtl/>
        </w:rPr>
        <w:t>הנקרא</w:t>
      </w:r>
      <w:r>
        <w:rPr>
          <w:rtl/>
        </w:rPr>
        <w:t xml:space="preserve"> </w:t>
      </w:r>
      <w:r>
        <w:rPr>
          <w:rFonts w:hint="cs"/>
          <w:rtl/>
        </w:rPr>
        <w:t>תכלת</w:t>
      </w:r>
      <w:r>
        <w:rPr>
          <w:rtl/>
        </w:rPr>
        <w:t xml:space="preserve">, </w:t>
      </w:r>
      <w:r>
        <w:rPr>
          <w:rFonts w:hint="cs"/>
          <w:rtl/>
        </w:rPr>
        <w:t>ואין</w:t>
      </w:r>
      <w:r>
        <w:rPr>
          <w:rtl/>
        </w:rPr>
        <w:t xml:space="preserve"> </w:t>
      </w:r>
      <w:r>
        <w:rPr>
          <w:rFonts w:hint="cs"/>
          <w:rtl/>
        </w:rPr>
        <w:t>למנין</w:t>
      </w:r>
      <w:r>
        <w:rPr>
          <w:rtl/>
        </w:rPr>
        <w:t xml:space="preserve"> </w:t>
      </w:r>
      <w:r>
        <w:rPr>
          <w:rFonts w:hint="cs"/>
          <w:rtl/>
        </w:rPr>
        <w:t>הכריכות</w:t>
      </w:r>
      <w:r>
        <w:rPr>
          <w:rtl/>
        </w:rPr>
        <w:t xml:space="preserve"> </w:t>
      </w:r>
      <w:r>
        <w:rPr>
          <w:rFonts w:hint="cs"/>
          <w:rtl/>
        </w:rPr>
        <w:t>שכורך</w:t>
      </w:r>
      <w:r>
        <w:rPr>
          <w:rtl/>
        </w:rPr>
        <w:t xml:space="preserve"> </w:t>
      </w:r>
      <w:r>
        <w:rPr>
          <w:rFonts w:hint="cs"/>
          <w:rtl/>
        </w:rPr>
        <w:t>חוט</w:t>
      </w:r>
      <w:r>
        <w:rPr>
          <w:rtl/>
        </w:rPr>
        <w:t xml:space="preserve"> </w:t>
      </w:r>
      <w:r>
        <w:rPr>
          <w:rFonts w:hint="cs"/>
          <w:rtl/>
        </w:rPr>
        <w:t>זה</w:t>
      </w:r>
      <w:r>
        <w:rPr>
          <w:rtl/>
        </w:rPr>
        <w:t xml:space="preserve"> </w:t>
      </w:r>
      <w:r>
        <w:rPr>
          <w:rFonts w:hint="cs"/>
          <w:rtl/>
        </w:rPr>
        <w:t>שיעור</w:t>
      </w:r>
      <w:r>
        <w:rPr>
          <w:rtl/>
        </w:rPr>
        <w:t xml:space="preserve"> </w:t>
      </w:r>
      <w:r>
        <w:rPr>
          <w:rFonts w:hint="cs"/>
          <w:rtl/>
        </w:rPr>
        <w:t>מן</w:t>
      </w:r>
      <w:r>
        <w:rPr>
          <w:rtl/>
        </w:rPr>
        <w:t xml:space="preserve"> </w:t>
      </w:r>
      <w:r>
        <w:rPr>
          <w:rFonts w:hint="cs"/>
          <w:rtl/>
        </w:rPr>
        <w:t>התורה</w:t>
      </w:r>
      <w:r>
        <w:rPr>
          <w:rtl/>
        </w:rPr>
        <w:t xml:space="preserve">. </w:t>
      </w:r>
    </w:p>
    <w:p w14:paraId="66F53CE5" w14:textId="77777777" w:rsidR="0058706A" w:rsidRDefault="0058706A" w:rsidP="0058706A">
      <w:pPr>
        <w:pStyle w:val="aa"/>
        <w:rPr>
          <w:rtl/>
        </w:rPr>
      </w:pPr>
      <w:r>
        <w:rPr>
          <w:rFonts w:hint="cs"/>
          <w:rtl/>
        </w:rPr>
        <w:t>הלכה</w:t>
      </w:r>
      <w:r>
        <w:rPr>
          <w:rtl/>
        </w:rPr>
        <w:t xml:space="preserve"> </w:t>
      </w:r>
      <w:r>
        <w:rPr>
          <w:rFonts w:hint="cs"/>
          <w:rtl/>
        </w:rPr>
        <w:t>ג</w:t>
      </w:r>
    </w:p>
    <w:p w14:paraId="692E1154" w14:textId="77777777" w:rsidR="00FE62C3" w:rsidRDefault="0058706A" w:rsidP="0058706A">
      <w:pPr>
        <w:pStyle w:val="aa"/>
        <w:rPr>
          <w:rtl/>
        </w:rPr>
      </w:pPr>
      <w:r>
        <w:rPr>
          <w:rFonts w:hint="cs"/>
          <w:rtl/>
        </w:rPr>
        <w:t>נמצאו</w:t>
      </w:r>
      <w:r>
        <w:rPr>
          <w:rtl/>
        </w:rPr>
        <w:t xml:space="preserve"> </w:t>
      </w:r>
      <w:r>
        <w:rPr>
          <w:rFonts w:hint="cs"/>
          <w:rtl/>
        </w:rPr>
        <w:t>במצוה</w:t>
      </w:r>
      <w:r>
        <w:rPr>
          <w:rtl/>
        </w:rPr>
        <w:t xml:space="preserve"> </w:t>
      </w:r>
      <w:r>
        <w:rPr>
          <w:rFonts w:hint="cs"/>
          <w:rtl/>
        </w:rPr>
        <w:t>זו</w:t>
      </w:r>
      <w:r>
        <w:rPr>
          <w:rtl/>
        </w:rPr>
        <w:t xml:space="preserve"> </w:t>
      </w:r>
      <w:r>
        <w:rPr>
          <w:rFonts w:hint="cs"/>
          <w:rtl/>
        </w:rPr>
        <w:t>שני</w:t>
      </w:r>
      <w:r>
        <w:rPr>
          <w:rtl/>
        </w:rPr>
        <w:t xml:space="preserve"> </w:t>
      </w:r>
      <w:r>
        <w:rPr>
          <w:rFonts w:hint="cs"/>
          <w:rtl/>
        </w:rPr>
        <w:t>צווים</w:t>
      </w:r>
      <w:r>
        <w:rPr>
          <w:rtl/>
        </w:rPr>
        <w:t xml:space="preserve">, </w:t>
      </w:r>
      <w:r w:rsidRPr="0058706A">
        <w:rPr>
          <w:rFonts w:hint="cs"/>
          <w:u w:val="single"/>
          <w:rtl/>
        </w:rPr>
        <w:t>שיעשה</w:t>
      </w:r>
      <w:r w:rsidRPr="0058706A">
        <w:rPr>
          <w:u w:val="single"/>
          <w:rtl/>
        </w:rPr>
        <w:t xml:space="preserve"> </w:t>
      </w:r>
      <w:r w:rsidRPr="0058706A">
        <w:rPr>
          <w:rFonts w:hint="cs"/>
          <w:u w:val="single"/>
          <w:rtl/>
        </w:rPr>
        <w:t>על</w:t>
      </w:r>
      <w:r w:rsidRPr="0058706A">
        <w:rPr>
          <w:u w:val="single"/>
          <w:rtl/>
        </w:rPr>
        <w:t xml:space="preserve"> </w:t>
      </w:r>
      <w:r w:rsidRPr="0058706A">
        <w:rPr>
          <w:rFonts w:hint="cs"/>
          <w:u w:val="single"/>
          <w:rtl/>
        </w:rPr>
        <w:t>הכנף</w:t>
      </w:r>
      <w:r w:rsidRPr="0058706A">
        <w:rPr>
          <w:u w:val="single"/>
          <w:rtl/>
        </w:rPr>
        <w:t xml:space="preserve"> </w:t>
      </w:r>
      <w:r w:rsidRPr="0058706A">
        <w:rPr>
          <w:rFonts w:hint="cs"/>
          <w:u w:val="single"/>
          <w:rtl/>
        </w:rPr>
        <w:t>ענף</w:t>
      </w:r>
      <w:r w:rsidRPr="0058706A">
        <w:rPr>
          <w:u w:val="single"/>
          <w:rtl/>
        </w:rPr>
        <w:t xml:space="preserve"> </w:t>
      </w:r>
      <w:r w:rsidRPr="0058706A">
        <w:rPr>
          <w:rFonts w:hint="cs"/>
          <w:u w:val="single"/>
          <w:rtl/>
        </w:rPr>
        <w:t>יוצא</w:t>
      </w:r>
      <w:r w:rsidRPr="0058706A">
        <w:rPr>
          <w:u w:val="single"/>
          <w:rtl/>
        </w:rPr>
        <w:t xml:space="preserve"> </w:t>
      </w:r>
      <w:r w:rsidRPr="0058706A">
        <w:rPr>
          <w:rFonts w:hint="cs"/>
          <w:u w:val="single"/>
          <w:rtl/>
        </w:rPr>
        <w:t>ממנה</w:t>
      </w:r>
      <w:r>
        <w:rPr>
          <w:rtl/>
        </w:rPr>
        <w:t xml:space="preserve">, </w:t>
      </w:r>
      <w:r w:rsidRPr="0058706A">
        <w:rPr>
          <w:rFonts w:hint="cs"/>
          <w:u w:val="single"/>
          <w:rtl/>
        </w:rPr>
        <w:t>ושיכרוך</w:t>
      </w:r>
      <w:r w:rsidRPr="0058706A">
        <w:rPr>
          <w:u w:val="single"/>
          <w:rtl/>
        </w:rPr>
        <w:t xml:space="preserve"> </w:t>
      </w:r>
      <w:r w:rsidRPr="0058706A">
        <w:rPr>
          <w:rFonts w:hint="cs"/>
          <w:u w:val="single"/>
          <w:rtl/>
        </w:rPr>
        <w:t>על</w:t>
      </w:r>
      <w:r w:rsidRPr="0058706A">
        <w:rPr>
          <w:u w:val="single"/>
          <w:rtl/>
        </w:rPr>
        <w:t xml:space="preserve"> </w:t>
      </w:r>
      <w:r w:rsidRPr="0058706A">
        <w:rPr>
          <w:rFonts w:hint="cs"/>
          <w:u w:val="single"/>
          <w:rtl/>
        </w:rPr>
        <w:t>הענף</w:t>
      </w:r>
      <w:r w:rsidRPr="0058706A">
        <w:rPr>
          <w:u w:val="single"/>
          <w:rtl/>
        </w:rPr>
        <w:t xml:space="preserve"> </w:t>
      </w:r>
      <w:r w:rsidRPr="0058706A">
        <w:rPr>
          <w:rFonts w:hint="cs"/>
          <w:u w:val="single"/>
          <w:rtl/>
        </w:rPr>
        <w:t>חוט</w:t>
      </w:r>
      <w:r w:rsidRPr="0058706A">
        <w:rPr>
          <w:u w:val="single"/>
          <w:rtl/>
        </w:rPr>
        <w:t xml:space="preserve"> </w:t>
      </w:r>
      <w:r w:rsidRPr="0058706A">
        <w:rPr>
          <w:rFonts w:hint="cs"/>
          <w:u w:val="single"/>
          <w:rtl/>
        </w:rPr>
        <w:t>תכלת</w:t>
      </w:r>
      <w:r>
        <w:rPr>
          <w:rtl/>
        </w:rPr>
        <w:t xml:space="preserve"> </w:t>
      </w:r>
      <w:r>
        <w:rPr>
          <w:rFonts w:hint="cs"/>
          <w:rtl/>
        </w:rPr>
        <w:t>שנאמר</w:t>
      </w:r>
      <w:r>
        <w:rPr>
          <w:rtl/>
        </w:rPr>
        <w:t xml:space="preserve"> </w:t>
      </w:r>
      <w:r w:rsidRPr="0058706A">
        <w:rPr>
          <w:rFonts w:hint="cs"/>
          <w:u w:val="single"/>
          <w:rtl/>
        </w:rPr>
        <w:t>ועשו</w:t>
      </w:r>
      <w:r w:rsidRPr="0058706A">
        <w:rPr>
          <w:u w:val="single"/>
          <w:rtl/>
        </w:rPr>
        <w:t xml:space="preserve"> </w:t>
      </w:r>
      <w:r w:rsidRPr="0058706A">
        <w:rPr>
          <w:rFonts w:hint="cs"/>
          <w:u w:val="single"/>
          <w:rtl/>
        </w:rPr>
        <w:t>להם</w:t>
      </w:r>
      <w:r w:rsidRPr="0058706A">
        <w:rPr>
          <w:u w:val="single"/>
          <w:rtl/>
        </w:rPr>
        <w:t xml:space="preserve"> </w:t>
      </w:r>
      <w:r w:rsidRPr="0058706A">
        <w:rPr>
          <w:rFonts w:hint="cs"/>
          <w:u w:val="single"/>
          <w:rtl/>
        </w:rPr>
        <w:t>ציצית</w:t>
      </w:r>
      <w:r>
        <w:rPr>
          <w:rtl/>
        </w:rPr>
        <w:t xml:space="preserve"> </w:t>
      </w:r>
      <w:r w:rsidRPr="0058706A">
        <w:rPr>
          <w:rFonts w:hint="cs"/>
          <w:u w:val="single"/>
          <w:rtl/>
        </w:rPr>
        <w:t>ונתנו</w:t>
      </w:r>
      <w:r w:rsidRPr="0058706A">
        <w:rPr>
          <w:u w:val="single"/>
          <w:rtl/>
        </w:rPr>
        <w:t xml:space="preserve"> </w:t>
      </w:r>
      <w:r w:rsidRPr="0058706A">
        <w:rPr>
          <w:rFonts w:hint="cs"/>
          <w:u w:val="single"/>
          <w:rtl/>
        </w:rPr>
        <w:t>על</w:t>
      </w:r>
      <w:r w:rsidRPr="0058706A">
        <w:rPr>
          <w:u w:val="single"/>
          <w:rtl/>
        </w:rPr>
        <w:t xml:space="preserve"> </w:t>
      </w:r>
      <w:r w:rsidRPr="0058706A">
        <w:rPr>
          <w:rFonts w:hint="cs"/>
          <w:u w:val="single"/>
          <w:rtl/>
        </w:rPr>
        <w:t>ציצית</w:t>
      </w:r>
      <w:r w:rsidRPr="0058706A">
        <w:rPr>
          <w:u w:val="single"/>
          <w:rtl/>
        </w:rPr>
        <w:t xml:space="preserve"> </w:t>
      </w:r>
      <w:r w:rsidRPr="0058706A">
        <w:rPr>
          <w:rFonts w:hint="cs"/>
          <w:u w:val="single"/>
          <w:rtl/>
        </w:rPr>
        <w:t>הכנף</w:t>
      </w:r>
      <w:r w:rsidRPr="0058706A">
        <w:rPr>
          <w:u w:val="single"/>
          <w:rtl/>
        </w:rPr>
        <w:t xml:space="preserve"> </w:t>
      </w:r>
      <w:r w:rsidRPr="0058706A">
        <w:rPr>
          <w:rFonts w:hint="cs"/>
          <w:u w:val="single"/>
          <w:rtl/>
        </w:rPr>
        <w:t>פתיל</w:t>
      </w:r>
      <w:r w:rsidRPr="0058706A">
        <w:rPr>
          <w:u w:val="single"/>
          <w:rtl/>
        </w:rPr>
        <w:t xml:space="preserve"> </w:t>
      </w:r>
      <w:r w:rsidRPr="0058706A">
        <w:rPr>
          <w:rFonts w:hint="cs"/>
          <w:u w:val="single"/>
          <w:rtl/>
        </w:rPr>
        <w:t>תכלת</w:t>
      </w:r>
      <w:r>
        <w:rPr>
          <w:rtl/>
        </w:rPr>
        <w:t>.</w:t>
      </w:r>
    </w:p>
    <w:p w14:paraId="275BB230" w14:textId="77777777" w:rsidR="0058706A" w:rsidRDefault="0058706A" w:rsidP="0058706A">
      <w:pPr>
        <w:pStyle w:val="aa"/>
        <w:rPr>
          <w:rtl/>
        </w:rPr>
      </w:pPr>
    </w:p>
    <w:p w14:paraId="03CF99C8" w14:textId="77777777" w:rsidR="0058706A" w:rsidRDefault="0058706A" w:rsidP="0058706A">
      <w:pPr>
        <w:pStyle w:val="aa"/>
      </w:pPr>
      <w:r>
        <w:rPr>
          <w:rFonts w:hint="cs"/>
          <w:rtl/>
        </w:rPr>
        <w:t>הרי להדיא ש</w:t>
      </w:r>
      <w:r w:rsidR="006831FA">
        <w:rPr>
          <w:rFonts w:hint="cs"/>
          <w:rtl/>
        </w:rPr>
        <w:t>אלו שני תפקידים שונים, וזה עניינם מדאורייתא.</w:t>
      </w:r>
    </w:p>
  </w:comment>
  <w:comment w:id="2" w:author="שמואל אריאל" w:date="2019-05-08T16:12:00Z" w:initials="ש.א.">
    <w:p w14:paraId="4E4B45ED" w14:textId="77777777" w:rsidR="006831FA" w:rsidRDefault="006831FA">
      <w:pPr>
        <w:pStyle w:val="aa"/>
      </w:pPr>
      <w:r>
        <w:rPr>
          <w:rStyle w:val="a9"/>
        </w:rPr>
        <w:annotationRef/>
      </w:r>
      <w:r>
        <w:rPr>
          <w:rFonts w:hint="cs"/>
          <w:rtl/>
        </w:rPr>
        <w:t>אם אלו מינים שווים, אז אפשר לכרוך בזה או בזה, ואין נפק"מ. השילוב ביניהם, אין לו מקור בתורה לדעת הראב"ד. אז נראה שזה רק נוי.</w:t>
      </w:r>
    </w:p>
  </w:comment>
  <w:comment w:id="3" w:author="שמואל אריאל" w:date="2019-05-08T16:13:00Z" w:initials="ש.א.">
    <w:p w14:paraId="38C67EBF" w14:textId="77777777" w:rsidR="006831FA" w:rsidRDefault="006831FA">
      <w:pPr>
        <w:pStyle w:val="aa"/>
      </w:pPr>
      <w:r>
        <w:rPr>
          <w:rStyle w:val="a9"/>
        </w:rPr>
        <w:annotationRef/>
      </w:r>
      <w:r>
        <w:rPr>
          <w:rFonts w:hint="cs"/>
          <w:rtl/>
        </w:rPr>
        <w:t xml:space="preserve">מסכים. אבל </w:t>
      </w:r>
      <w:r w:rsidR="00F309E7">
        <w:rPr>
          <w:rFonts w:hint="cs"/>
          <w:rtl/>
        </w:rPr>
        <w:t>פרקטית, זה יגמור כמעט את כל החוט (13 חוליות עם 14 קשרים כפולים).</w:t>
      </w:r>
    </w:p>
  </w:comment>
  <w:comment w:id="4" w:author="שמואל אריאל" w:date="2019-05-08T16:17:00Z" w:initials="ש.א.">
    <w:p w14:paraId="31F94393" w14:textId="77777777" w:rsidR="00B61BEC" w:rsidRDefault="00B61BEC">
      <w:pPr>
        <w:pStyle w:val="aa"/>
      </w:pPr>
      <w:r>
        <w:rPr>
          <w:rStyle w:val="a9"/>
        </w:rPr>
        <w:annotationRef/>
      </w:r>
      <w:r>
        <w:rPr>
          <w:rFonts w:hint="cs"/>
          <w:rtl/>
        </w:rPr>
        <w:t>אבל אתה הופך את התכלת מ"הכורך" להיות "חלק מהכריכה". ולאידך, הופך את הלבן מ"ענף" להיות הכורך המרכזי.</w:t>
      </w:r>
    </w:p>
  </w:comment>
  <w:comment w:id="5" w:author="שמואל אריאל" w:date="2019-05-08T16:19:00Z" w:initials="ש.א.">
    <w:p w14:paraId="42A21E3E" w14:textId="77777777" w:rsidR="000460BA" w:rsidRDefault="000460BA">
      <w:pPr>
        <w:pStyle w:val="aa"/>
      </w:pPr>
      <w:r>
        <w:rPr>
          <w:rStyle w:val="a9"/>
        </w:rPr>
        <w:annotationRef/>
      </w:r>
      <w:r>
        <w:rPr>
          <w:rFonts w:hint="cs"/>
          <w:rtl/>
        </w:rPr>
        <w:t>עיין הע' 4 שלי.</w:t>
      </w:r>
    </w:p>
  </w:comment>
  <w:comment w:id="6" w:author="שמואל אריאל" w:date="2019-05-08T16:18:00Z" w:initials="ש.א.">
    <w:p w14:paraId="606F0112" w14:textId="77777777" w:rsidR="00CB45B3" w:rsidRDefault="00CB45B3">
      <w:pPr>
        <w:pStyle w:val="aa"/>
      </w:pPr>
      <w:r>
        <w:rPr>
          <w:rStyle w:val="a9"/>
        </w:rPr>
        <w:annotationRef/>
      </w:r>
      <w:r>
        <w:rPr>
          <w:rFonts w:hint="cs"/>
          <w:rtl/>
        </w:rPr>
        <w:t>אבל חלק מן ה"רקיעים" נעשים בחוליה שלמה של תכלת, ואילו הראשון והאחרון נעשים בחוליה "מעורבת".</w:t>
      </w:r>
    </w:p>
  </w:comment>
  <w:comment w:id="7" w:author="שמואל אריאל" w:date="2019-05-08T16:26:00Z" w:initials="ש.א.">
    <w:p w14:paraId="1D88F37F" w14:textId="77777777" w:rsidR="0045716D" w:rsidRDefault="0045716D" w:rsidP="00BD4DAB">
      <w:pPr>
        <w:pStyle w:val="aa"/>
        <w:rPr>
          <w:rtl/>
        </w:rPr>
      </w:pPr>
      <w:r>
        <w:rPr>
          <w:rStyle w:val="a9"/>
        </w:rPr>
        <w:annotationRef/>
      </w:r>
      <w:r w:rsidR="004E3570">
        <w:rPr>
          <w:rFonts w:hint="cs"/>
          <w:rtl/>
        </w:rPr>
        <w:t xml:space="preserve">א. </w:t>
      </w:r>
      <w:r>
        <w:rPr>
          <w:rFonts w:hint="cs"/>
          <w:rtl/>
        </w:rPr>
        <w:t xml:space="preserve">כהשערה זה יכול להיות. אבל בפועל הפוסקים לא פסקו כראב"ד, </w:t>
      </w:r>
      <w:r w:rsidR="00BD4DAB">
        <w:rPr>
          <w:rFonts w:hint="cs"/>
          <w:rtl/>
        </w:rPr>
        <w:t>כפי שהוכחתי. אז ייתכן שבעבר היה מקובל יותר לפרש כמותו, אבל זה כבר מחקר היסטורי ולא פסיקה הלכתית.</w:t>
      </w:r>
    </w:p>
    <w:p w14:paraId="29F20E74" w14:textId="77777777" w:rsidR="00BD4DAB" w:rsidRDefault="004E3570">
      <w:pPr>
        <w:pStyle w:val="aa"/>
        <w:rPr>
          <w:rtl/>
        </w:rPr>
      </w:pPr>
      <w:r>
        <w:rPr>
          <w:rFonts w:hint="cs"/>
          <w:rtl/>
        </w:rPr>
        <w:t xml:space="preserve">ב. </w:t>
      </w:r>
      <w:r w:rsidR="00BD4DAB">
        <w:rPr>
          <w:rFonts w:hint="cs"/>
          <w:rtl/>
        </w:rPr>
        <w:t xml:space="preserve">נכון שאם זו היתה עדות על מה שנהג בפועל בזמן התכלת, היה לזה </w:t>
      </w:r>
      <w:r>
        <w:rPr>
          <w:rFonts w:hint="cs"/>
          <w:rtl/>
        </w:rPr>
        <w:t>משקל הלכתי משמעותי, אבל הראב"ד הרי לא הטיל תכלת, וראשונים אחרים בני אותה תקופה מתארים דברים אחרים, כך שאין לי סיבה לחשוב ששיטת הראב"ד מייצגת את המנהג המקורי יותר מאשר ראשונים אחרים.</w:t>
      </w:r>
    </w:p>
    <w:p w14:paraId="46213E46" w14:textId="77777777" w:rsidR="00046E1B" w:rsidRDefault="00046E1B">
      <w:pPr>
        <w:pStyle w:val="aa"/>
      </w:pPr>
      <w:r>
        <w:rPr>
          <w:rFonts w:hint="cs"/>
          <w:rtl/>
        </w:rPr>
        <w:t xml:space="preserve">ג. ועוד לגבי עצם ההשערה הזו </w:t>
      </w:r>
      <w:r>
        <w:rPr>
          <w:rtl/>
        </w:rPr>
        <w:t>–</w:t>
      </w:r>
      <w:r>
        <w:rPr>
          <w:rFonts w:hint="cs"/>
          <w:rtl/>
        </w:rPr>
        <w:t xml:space="preserve"> האם יש לנו עדות שאנשים בתקופת הראשונים נהגו לקשור 7,9,11,13? </w:t>
      </w:r>
      <w:r w:rsidR="00C1083B">
        <w:rPr>
          <w:rFonts w:hint="cs"/>
          <w:rtl/>
        </w:rPr>
        <w:t xml:space="preserve">המקור הראשון </w:t>
      </w:r>
      <w:r w:rsidR="00CF6E46">
        <w:rPr>
          <w:rFonts w:hint="cs"/>
          <w:rtl/>
        </w:rPr>
        <w:t>שאני מכיר לכך הוא בדברי הב"י, שמספר שראה אנשים שעושים כך. אז ייתכן בהחלט (כפי שסובר הב"י עצמו) שזה לא השתלשל ממנהג קדום, אלא אנשים חידשו את המנהג הזה כחיקוי לתכלת, על פי הראב"ד, ואין בזה תימוכי</w:t>
      </w:r>
      <w:r w:rsidR="00E11586">
        <w:rPr>
          <w:rFonts w:hint="cs"/>
          <w:rtl/>
        </w:rPr>
        <w:t>ן קדומים לדעת הראב"ד.</w:t>
      </w:r>
    </w:p>
  </w:comment>
  <w:comment w:id="9" w:author="שמואל אריאל" w:date="2019-05-08T16:28:00Z" w:initials="ש.א.">
    <w:p w14:paraId="045EDDDF" w14:textId="77777777" w:rsidR="00F850D3" w:rsidRDefault="00F850D3">
      <w:pPr>
        <w:pStyle w:val="aa"/>
      </w:pPr>
      <w:r>
        <w:rPr>
          <w:rStyle w:val="a9"/>
        </w:rPr>
        <w:annotationRef/>
      </w:r>
      <w:r>
        <w:rPr>
          <w:rFonts w:hint="cs"/>
          <w:rtl/>
        </w:rPr>
        <w:t>צריך לעיין, לא יכול כעת.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C99178A" w15:done="0"/>
  <w15:commentEx w15:paraId="03CF99C8" w15:done="0"/>
  <w15:commentEx w15:paraId="4E4B45ED" w15:done="0"/>
  <w15:commentEx w15:paraId="38C67EBF" w15:done="0"/>
  <w15:commentEx w15:paraId="31F94393" w15:done="0"/>
  <w15:commentEx w15:paraId="42A21E3E" w15:done="0"/>
  <w15:commentEx w15:paraId="606F0112" w15:done="0"/>
  <w15:commentEx w15:paraId="46213E46" w15:done="0"/>
  <w15:commentEx w15:paraId="045EDD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99178A" w16cid:durableId="207FE5AE"/>
  <w16cid:commentId w16cid:paraId="03CF99C8" w16cid:durableId="207FE5AF"/>
  <w16cid:commentId w16cid:paraId="4E4B45ED" w16cid:durableId="207FE5B0"/>
  <w16cid:commentId w16cid:paraId="38C67EBF" w16cid:durableId="207FE5B1"/>
  <w16cid:commentId w16cid:paraId="31F94393" w16cid:durableId="207FE5B2"/>
  <w16cid:commentId w16cid:paraId="42A21E3E" w16cid:durableId="207FE5B3"/>
  <w16cid:commentId w16cid:paraId="606F0112" w16cid:durableId="207FE5B4"/>
  <w16cid:commentId w16cid:paraId="46213E46" w16cid:durableId="207FE5B5"/>
  <w16cid:commentId w16cid:paraId="045EDDDF" w16cid:durableId="207FE5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5DB537" w14:textId="77777777" w:rsidR="00137ACB" w:rsidRDefault="00137ACB" w:rsidP="008E1221">
      <w:pPr>
        <w:spacing w:after="0" w:line="240" w:lineRule="auto"/>
      </w:pPr>
      <w:r>
        <w:separator/>
      </w:r>
    </w:p>
  </w:endnote>
  <w:endnote w:type="continuationSeparator" w:id="0">
    <w:p w14:paraId="434A5334" w14:textId="77777777" w:rsidR="00137ACB" w:rsidRDefault="00137ACB" w:rsidP="008E1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lef">
    <w:altName w:val="Courier New"/>
    <w:charset w:val="00"/>
    <w:family w:val="auto"/>
    <w:pitch w:val="variable"/>
    <w:sig w:usb0="00000000" w:usb1="40000000" w:usb2="00000000" w:usb3="00000000" w:csb0="000000B3" w:csb1="00000000"/>
  </w:font>
  <w:font w:name="David">
    <w:panose1 w:val="020E05020604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A882D" w14:textId="77777777" w:rsidR="00137ACB" w:rsidRDefault="00137ACB" w:rsidP="008E1221">
      <w:pPr>
        <w:spacing w:after="0" w:line="240" w:lineRule="auto"/>
      </w:pPr>
      <w:r>
        <w:separator/>
      </w:r>
    </w:p>
  </w:footnote>
  <w:footnote w:type="continuationSeparator" w:id="0">
    <w:p w14:paraId="54F471FB" w14:textId="77777777" w:rsidR="00137ACB" w:rsidRDefault="00137ACB" w:rsidP="008E1221">
      <w:pPr>
        <w:spacing w:after="0" w:line="240" w:lineRule="auto"/>
      </w:pPr>
      <w:r>
        <w:continuationSeparator/>
      </w:r>
    </w:p>
  </w:footnote>
  <w:footnote w:id="1">
    <w:p w14:paraId="7CAF27DC" w14:textId="77777777" w:rsidR="008E1221" w:rsidRDefault="008E1221">
      <w:pPr>
        <w:pStyle w:val="a5"/>
      </w:pPr>
      <w:r>
        <w:rPr>
          <w:rStyle w:val="a7"/>
        </w:rPr>
        <w:footnoteRef/>
      </w:r>
      <w:r>
        <w:rPr>
          <w:rtl/>
        </w:rPr>
        <w:t xml:space="preserve"> </w:t>
      </w:r>
      <w:r>
        <w:rPr>
          <w:rFonts w:hint="cs"/>
          <w:rtl/>
        </w:rPr>
        <w:t xml:space="preserve">כאן אני מבקש לשאול </w:t>
      </w:r>
      <w:r>
        <w:rPr>
          <w:rtl/>
        </w:rPr>
        <w:t>–</w:t>
      </w:r>
      <w:r>
        <w:rPr>
          <w:rFonts w:hint="cs"/>
          <w:rtl/>
        </w:rPr>
        <w:t xml:space="preserve"> לשיטתך, למה לא לעשות 13 חוליות של 3? מה מרוויחים בזה שעושים 7 חוליות של 5 או 6?</w:t>
      </w:r>
    </w:p>
  </w:footnote>
  <w:footnote w:id="2">
    <w:p w14:paraId="66991170" w14:textId="77777777" w:rsidR="0047462B" w:rsidRDefault="0047462B">
      <w:pPr>
        <w:pStyle w:val="a5"/>
      </w:pPr>
      <w:r>
        <w:rPr>
          <w:rStyle w:val="a7"/>
        </w:rPr>
        <w:footnoteRef/>
      </w:r>
      <w:r>
        <w:rPr>
          <w:rtl/>
        </w:rPr>
        <w:t xml:space="preserve"> </w:t>
      </w:r>
      <w:r>
        <w:rPr>
          <w:rFonts w:hint="cs"/>
          <w:rtl/>
        </w:rPr>
        <w:t>אני כותב כאן דברים שמישהו אמר לי פעם, ודי השתכנעתי. ברמה שאמרתי ש"אם הייתי צריך לנחש איך הייתה נראית הציצית של משה רבינו, הייתי מהמר על שיטת הראב"ד."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D75F88"/>
    <w:multiLevelType w:val="hybridMultilevel"/>
    <w:tmpl w:val="4E568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F202D"/>
    <w:multiLevelType w:val="hybridMultilevel"/>
    <w:tmpl w:val="6D86478E"/>
    <w:lvl w:ilvl="0" w:tplc="849AA52E">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7808"/>
    <w:rsid w:val="00005C58"/>
    <w:rsid w:val="000460BA"/>
    <w:rsid w:val="00046E1B"/>
    <w:rsid w:val="000E57B0"/>
    <w:rsid w:val="00137ACB"/>
    <w:rsid w:val="00200866"/>
    <w:rsid w:val="002D3313"/>
    <w:rsid w:val="00402E4B"/>
    <w:rsid w:val="0045716D"/>
    <w:rsid w:val="00472605"/>
    <w:rsid w:val="0047462B"/>
    <w:rsid w:val="004E3570"/>
    <w:rsid w:val="0058706A"/>
    <w:rsid w:val="006831FA"/>
    <w:rsid w:val="006A4AFD"/>
    <w:rsid w:val="008E1221"/>
    <w:rsid w:val="0092071C"/>
    <w:rsid w:val="00A90D2C"/>
    <w:rsid w:val="00AA59CD"/>
    <w:rsid w:val="00AC7808"/>
    <w:rsid w:val="00B61BEC"/>
    <w:rsid w:val="00BD4DAB"/>
    <w:rsid w:val="00C1083B"/>
    <w:rsid w:val="00CB45B3"/>
    <w:rsid w:val="00CF6E46"/>
    <w:rsid w:val="00D67C3C"/>
    <w:rsid w:val="00E11586"/>
    <w:rsid w:val="00EA7234"/>
    <w:rsid w:val="00F309E7"/>
    <w:rsid w:val="00F850D3"/>
    <w:rsid w:val="00FE62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6543"/>
  <w15:docId w15:val="{64C4E7A1-8282-9E46-BA6D-A8A3ABAF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57B0"/>
    <w:pPr>
      <w:bidi/>
    </w:pPr>
    <w:rPr>
      <w:rFonts w:cs="Ale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rsid w:val="00402E4B"/>
    <w:pPr>
      <w:tabs>
        <w:tab w:val="left" w:pos="368"/>
      </w:tabs>
      <w:spacing w:after="120" w:line="240" w:lineRule="exact"/>
      <w:ind w:firstLine="227"/>
      <w:jc w:val="both"/>
    </w:pPr>
    <w:rPr>
      <w:rFonts w:ascii="Times New Roman" w:eastAsia="Times New Roman" w:hAnsi="Times New Roman" w:cs="David"/>
      <w:sz w:val="20"/>
      <w:szCs w:val="22"/>
      <w:lang w:eastAsia="he-IL"/>
    </w:rPr>
  </w:style>
  <w:style w:type="character" w:customStyle="1" w:styleId="a4">
    <w:name w:val="גוף טקסט תו"/>
    <w:basedOn w:val="a0"/>
    <w:link w:val="a3"/>
    <w:rsid w:val="00402E4B"/>
    <w:rPr>
      <w:rFonts w:ascii="Times New Roman" w:eastAsia="Times New Roman" w:hAnsi="Times New Roman" w:cs="David"/>
      <w:sz w:val="20"/>
      <w:lang w:eastAsia="he-IL"/>
    </w:rPr>
  </w:style>
  <w:style w:type="paragraph" w:styleId="a5">
    <w:name w:val="footnote text"/>
    <w:basedOn w:val="a"/>
    <w:link w:val="a6"/>
    <w:uiPriority w:val="99"/>
    <w:semiHidden/>
    <w:unhideWhenUsed/>
    <w:rsid w:val="008E1221"/>
    <w:pPr>
      <w:spacing w:after="0" w:line="240" w:lineRule="auto"/>
    </w:pPr>
    <w:rPr>
      <w:sz w:val="20"/>
      <w:szCs w:val="20"/>
    </w:rPr>
  </w:style>
  <w:style w:type="character" w:customStyle="1" w:styleId="a6">
    <w:name w:val="טקסט הערת שוליים תו"/>
    <w:basedOn w:val="a0"/>
    <w:link w:val="a5"/>
    <w:uiPriority w:val="99"/>
    <w:semiHidden/>
    <w:rsid w:val="008E1221"/>
    <w:rPr>
      <w:rFonts w:cs="Alef"/>
      <w:sz w:val="20"/>
      <w:szCs w:val="20"/>
    </w:rPr>
  </w:style>
  <w:style w:type="character" w:styleId="a7">
    <w:name w:val="footnote reference"/>
    <w:basedOn w:val="a0"/>
    <w:uiPriority w:val="99"/>
    <w:semiHidden/>
    <w:unhideWhenUsed/>
    <w:rsid w:val="008E1221"/>
    <w:rPr>
      <w:vertAlign w:val="superscript"/>
    </w:rPr>
  </w:style>
  <w:style w:type="paragraph" w:styleId="a8">
    <w:name w:val="List Paragraph"/>
    <w:basedOn w:val="a"/>
    <w:uiPriority w:val="34"/>
    <w:qFormat/>
    <w:rsid w:val="0047462B"/>
    <w:pPr>
      <w:ind w:left="720"/>
      <w:contextualSpacing/>
    </w:pPr>
  </w:style>
  <w:style w:type="character" w:styleId="a9">
    <w:name w:val="annotation reference"/>
    <w:basedOn w:val="a0"/>
    <w:uiPriority w:val="99"/>
    <w:semiHidden/>
    <w:unhideWhenUsed/>
    <w:rsid w:val="00FE62C3"/>
    <w:rPr>
      <w:sz w:val="16"/>
      <w:szCs w:val="16"/>
    </w:rPr>
  </w:style>
  <w:style w:type="paragraph" w:styleId="aa">
    <w:name w:val="annotation text"/>
    <w:basedOn w:val="a"/>
    <w:link w:val="ab"/>
    <w:uiPriority w:val="99"/>
    <w:semiHidden/>
    <w:unhideWhenUsed/>
    <w:rsid w:val="00FE62C3"/>
    <w:pPr>
      <w:spacing w:line="240" w:lineRule="auto"/>
    </w:pPr>
    <w:rPr>
      <w:sz w:val="20"/>
      <w:szCs w:val="20"/>
    </w:rPr>
  </w:style>
  <w:style w:type="character" w:customStyle="1" w:styleId="ab">
    <w:name w:val="טקסט הערה תו"/>
    <w:basedOn w:val="a0"/>
    <w:link w:val="aa"/>
    <w:uiPriority w:val="99"/>
    <w:semiHidden/>
    <w:rsid w:val="00FE62C3"/>
    <w:rPr>
      <w:rFonts w:cs="Alef"/>
      <w:sz w:val="20"/>
      <w:szCs w:val="20"/>
    </w:rPr>
  </w:style>
  <w:style w:type="paragraph" w:styleId="ac">
    <w:name w:val="annotation subject"/>
    <w:basedOn w:val="aa"/>
    <w:next w:val="aa"/>
    <w:link w:val="ad"/>
    <w:uiPriority w:val="99"/>
    <w:semiHidden/>
    <w:unhideWhenUsed/>
    <w:rsid w:val="00FE62C3"/>
    <w:rPr>
      <w:b/>
      <w:bCs/>
    </w:rPr>
  </w:style>
  <w:style w:type="character" w:customStyle="1" w:styleId="ad">
    <w:name w:val="נושא הערה תו"/>
    <w:basedOn w:val="ab"/>
    <w:link w:val="ac"/>
    <w:uiPriority w:val="99"/>
    <w:semiHidden/>
    <w:rsid w:val="00FE62C3"/>
    <w:rPr>
      <w:rFonts w:cs="Alef"/>
      <w:b/>
      <w:bCs/>
      <w:sz w:val="20"/>
      <w:szCs w:val="20"/>
    </w:rPr>
  </w:style>
  <w:style w:type="paragraph" w:styleId="ae">
    <w:name w:val="Balloon Text"/>
    <w:basedOn w:val="a"/>
    <w:link w:val="af"/>
    <w:uiPriority w:val="99"/>
    <w:semiHidden/>
    <w:unhideWhenUsed/>
    <w:rsid w:val="00FE62C3"/>
    <w:pPr>
      <w:spacing w:after="0" w:line="240" w:lineRule="auto"/>
    </w:pPr>
    <w:rPr>
      <w:rFonts w:ascii="Tahoma" w:hAnsi="Tahoma" w:cs="Tahoma"/>
      <w:sz w:val="16"/>
      <w:szCs w:val="16"/>
    </w:rPr>
  </w:style>
  <w:style w:type="character" w:customStyle="1" w:styleId="af">
    <w:name w:val="טקסט בלונים תו"/>
    <w:basedOn w:val="a0"/>
    <w:link w:val="ae"/>
    <w:uiPriority w:val="99"/>
    <w:semiHidden/>
    <w:rsid w:val="00FE62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9763A-DE6A-B040-ACD7-DE6C20F64AD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919</Words>
  <Characters>4598</Characters>
  <Application>Microsoft Office Word</Application>
  <DocSecurity>0</DocSecurity>
  <Lines>38</Lines>
  <Paragraphs>11</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אוריאל קורל</dc:creator>
  <cp:lastModifiedBy>משתמש אורח</cp:lastModifiedBy>
  <cp:revision>2</cp:revision>
  <dcterms:created xsi:type="dcterms:W3CDTF">2019-05-10T09:00:00Z</dcterms:created>
  <dcterms:modified xsi:type="dcterms:W3CDTF">2019-05-10T09:00:00Z</dcterms:modified>
</cp:coreProperties>
</file>