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CF446" w14:textId="77777777" w:rsidR="002D3313" w:rsidRPr="004029BD" w:rsidRDefault="004029BD" w:rsidP="00513322">
      <w:pPr>
        <w:ind w:firstLine="720"/>
        <w:jc w:val="center"/>
        <w:rPr>
          <w:b/>
          <w:bCs/>
          <w:sz w:val="28"/>
          <w:szCs w:val="30"/>
          <w:rtl/>
        </w:rPr>
      </w:pPr>
      <w:r w:rsidRPr="004029BD">
        <w:rPr>
          <w:rFonts w:hint="cs"/>
          <w:b/>
          <w:bCs/>
          <w:sz w:val="28"/>
          <w:szCs w:val="30"/>
          <w:rtl/>
        </w:rPr>
        <w:t>הטענה המרכזית</w:t>
      </w:r>
    </w:p>
    <w:p w14:paraId="7A83F0DA" w14:textId="77777777" w:rsidR="004029BD" w:rsidRDefault="004029BD">
      <w:pPr>
        <w:rPr>
          <w:b/>
          <w:bCs/>
          <w:rtl/>
        </w:rPr>
      </w:pPr>
      <w:r>
        <w:rPr>
          <w:rFonts w:hint="cs"/>
          <w:b/>
          <w:bCs/>
          <w:rtl/>
        </w:rPr>
        <w:t>הקדמה:</w:t>
      </w:r>
    </w:p>
    <w:p w14:paraId="32BBC9B7" w14:textId="56142B6A" w:rsidR="004029BD" w:rsidRDefault="004029BD" w:rsidP="004029BD">
      <w:pPr>
        <w:rPr>
          <w:rtl/>
        </w:rPr>
      </w:pPr>
      <w:r>
        <w:rPr>
          <w:rFonts w:hint="cs"/>
          <w:rtl/>
        </w:rPr>
        <w:t xml:space="preserve">מסתובבים בעולם הרבה מאמרים </w:t>
      </w:r>
      <w:r w:rsidR="002540DE">
        <w:rPr>
          <w:rFonts w:hint="cs"/>
          <w:rtl/>
        </w:rPr>
        <w:t>שמטרתם</w:t>
      </w:r>
      <w:r>
        <w:rPr>
          <w:rFonts w:hint="cs"/>
          <w:rtl/>
        </w:rPr>
        <w:t xml:space="preserve"> לשכנע את קוראיהם להטיל ת</w:t>
      </w:r>
      <w:r w:rsidR="005E4A64">
        <w:rPr>
          <w:rFonts w:hint="cs"/>
          <w:rtl/>
        </w:rPr>
        <w:t>כלת בציציותיהם (</w:t>
      </w:r>
      <w:r w:rsidR="00C77314">
        <w:rPr>
          <w:rFonts w:hint="cs"/>
          <w:rtl/>
        </w:rPr>
        <w:t>הבעיות שאני מציג ב</w:t>
      </w:r>
      <w:r w:rsidR="005E4A64">
        <w:rPr>
          <w:rFonts w:hint="cs"/>
          <w:rtl/>
        </w:rPr>
        <w:t>הקדמה הזו נכונ</w:t>
      </w:r>
      <w:r w:rsidR="00C77314">
        <w:rPr>
          <w:rFonts w:hint="cs"/>
          <w:rtl/>
        </w:rPr>
        <w:t>ות</w:t>
      </w:r>
      <w:r w:rsidR="005E4A64">
        <w:rPr>
          <w:rFonts w:hint="cs"/>
          <w:rtl/>
        </w:rPr>
        <w:t xml:space="preserve"> כנראה להרבה תחומים</w:t>
      </w:r>
      <w:r w:rsidR="00C77314">
        <w:rPr>
          <w:rFonts w:hint="cs"/>
          <w:rtl/>
        </w:rPr>
        <w:t>, אולי לכל התחומים</w:t>
      </w:r>
      <w:r w:rsidR="005E4A64">
        <w:rPr>
          <w:rFonts w:hint="cs"/>
          <w:rtl/>
        </w:rPr>
        <w:t xml:space="preserve">, אבל </w:t>
      </w:r>
      <w:r w:rsidR="00C77314">
        <w:rPr>
          <w:rFonts w:hint="cs"/>
          <w:rtl/>
        </w:rPr>
        <w:t xml:space="preserve">תכלת </w:t>
      </w:r>
      <w:r w:rsidR="005E4A64">
        <w:rPr>
          <w:rFonts w:hint="cs"/>
          <w:rtl/>
        </w:rPr>
        <w:t>זה התחום שלי</w:t>
      </w:r>
      <w:r w:rsidR="00C77314">
        <w:rPr>
          <w:rFonts w:hint="cs"/>
          <w:rtl/>
        </w:rPr>
        <w:t>, אז בו אני אתמקד</w:t>
      </w:r>
      <w:r w:rsidR="005E4A64">
        <w:rPr>
          <w:rFonts w:hint="cs"/>
          <w:rtl/>
        </w:rPr>
        <w:t xml:space="preserve">). </w:t>
      </w:r>
      <w:r w:rsidRPr="00C77314">
        <w:rPr>
          <w:rFonts w:hint="cs"/>
          <w:b/>
          <w:bCs/>
          <w:rtl/>
        </w:rPr>
        <w:t>בכל</w:t>
      </w:r>
      <w:r>
        <w:rPr>
          <w:rFonts w:hint="cs"/>
          <w:rtl/>
        </w:rPr>
        <w:t xml:space="preserve"> המאמרים שיצא לי </w:t>
      </w:r>
      <w:r w:rsidR="00C77314">
        <w:rPr>
          <w:rFonts w:hint="cs"/>
          <w:rtl/>
        </w:rPr>
        <w:t>לקרוא בנושא,</w:t>
      </w:r>
      <w:r>
        <w:rPr>
          <w:rFonts w:hint="cs"/>
          <w:rtl/>
        </w:rPr>
        <w:t xml:space="preserve"> היו 2 בעיות עיקריות: אחת, שיש אינסוף מאמרים</w:t>
      </w:r>
      <w:r w:rsidR="00C77314">
        <w:rPr>
          <w:rFonts w:hint="cs"/>
          <w:rtl/>
        </w:rPr>
        <w:t xml:space="preserve"> (</w:t>
      </w:r>
      <w:r>
        <w:rPr>
          <w:rFonts w:hint="cs"/>
          <w:rtl/>
        </w:rPr>
        <w:t>טובים יותר וטובים פחות</w:t>
      </w:r>
      <w:r w:rsidR="00C77314">
        <w:rPr>
          <w:rFonts w:hint="cs"/>
          <w:rtl/>
        </w:rPr>
        <w:t>)</w:t>
      </w:r>
      <w:r>
        <w:rPr>
          <w:rFonts w:hint="cs"/>
          <w:rtl/>
        </w:rPr>
        <w:t xml:space="preserve"> לשני הצדדים של המחלוקת</w:t>
      </w:r>
      <w:r w:rsidR="00C77314">
        <w:rPr>
          <w:rFonts w:hint="cs"/>
          <w:rtl/>
        </w:rPr>
        <w:t>, וקשה למצוא בהם את הידיים והרגליים.</w:t>
      </w:r>
    </w:p>
    <w:p w14:paraId="69364852" w14:textId="4C96A77F" w:rsidR="005E4A64" w:rsidRDefault="004029BD" w:rsidP="005E4A64">
      <w:pPr>
        <w:rPr>
          <w:rtl/>
        </w:rPr>
      </w:pPr>
      <w:r>
        <w:rPr>
          <w:rFonts w:hint="cs"/>
          <w:rtl/>
        </w:rPr>
        <w:t xml:space="preserve">הבעיה </w:t>
      </w:r>
      <w:proofErr w:type="spellStart"/>
      <w:r>
        <w:rPr>
          <w:rFonts w:hint="cs"/>
          <w:rtl/>
        </w:rPr>
        <w:t>השניה</w:t>
      </w:r>
      <w:proofErr w:type="spellEnd"/>
      <w:r w:rsidR="00C77314">
        <w:rPr>
          <w:rFonts w:hint="cs"/>
          <w:rtl/>
        </w:rPr>
        <w:t>,</w:t>
      </w:r>
      <w:r>
        <w:rPr>
          <w:rFonts w:hint="cs"/>
          <w:rtl/>
        </w:rPr>
        <w:t xml:space="preserve"> והחשובה יותר לדעתי, היא שכולם מנסים להיות נורא יסודיים ומנסים להתמודד עם כל הגישות</w:t>
      </w:r>
      <w:r w:rsidR="00C77314">
        <w:rPr>
          <w:rFonts w:hint="cs"/>
          <w:rtl/>
        </w:rPr>
        <w:t xml:space="preserve">, הטענות, </w:t>
      </w:r>
      <w:r>
        <w:rPr>
          <w:rFonts w:hint="cs"/>
          <w:rtl/>
        </w:rPr>
        <w:t>חצאי ההוכחות וכו' וככה נוצר</w:t>
      </w:r>
      <w:r w:rsidR="00C77314">
        <w:rPr>
          <w:rFonts w:hint="cs"/>
          <w:rtl/>
        </w:rPr>
        <w:t>ים</w:t>
      </w:r>
      <w:r>
        <w:rPr>
          <w:rFonts w:hint="cs"/>
          <w:rtl/>
        </w:rPr>
        <w:t xml:space="preserve"> מאמר</w:t>
      </w:r>
      <w:r w:rsidR="00C77314">
        <w:rPr>
          <w:rFonts w:hint="cs"/>
          <w:rtl/>
        </w:rPr>
        <w:t>ים</w:t>
      </w:r>
      <w:r>
        <w:rPr>
          <w:rFonts w:hint="cs"/>
          <w:rtl/>
        </w:rPr>
        <w:t xml:space="preserve"> א-ר-ו-</w:t>
      </w:r>
      <w:r w:rsidR="00C77314">
        <w:rPr>
          <w:rFonts w:hint="cs"/>
          <w:rtl/>
        </w:rPr>
        <w:t>כ-י-ם</w:t>
      </w:r>
      <w:r>
        <w:rPr>
          <w:rFonts w:hint="cs"/>
          <w:rtl/>
        </w:rPr>
        <w:t xml:space="preserve"> ומסורבל</w:t>
      </w:r>
      <w:r w:rsidR="00C77314">
        <w:rPr>
          <w:rFonts w:hint="cs"/>
          <w:rtl/>
        </w:rPr>
        <w:t>ים</w:t>
      </w:r>
      <w:r>
        <w:rPr>
          <w:rFonts w:hint="cs"/>
          <w:rtl/>
        </w:rPr>
        <w:t xml:space="preserve"> שאמנם מרא</w:t>
      </w:r>
      <w:r w:rsidR="00C77314">
        <w:rPr>
          <w:rFonts w:hint="cs"/>
          <w:rtl/>
        </w:rPr>
        <w:t>ים</w:t>
      </w:r>
      <w:r>
        <w:rPr>
          <w:rFonts w:hint="cs"/>
          <w:rtl/>
        </w:rPr>
        <w:t xml:space="preserve"> ש</w:t>
      </w:r>
      <w:r w:rsidR="00C77314">
        <w:rPr>
          <w:rFonts w:hint="cs"/>
          <w:rtl/>
        </w:rPr>
        <w:t>את ה</w:t>
      </w:r>
      <w:r>
        <w:rPr>
          <w:rFonts w:hint="cs"/>
          <w:rtl/>
        </w:rPr>
        <w:t xml:space="preserve">בקיאות </w:t>
      </w:r>
      <w:r w:rsidR="00C77314">
        <w:rPr>
          <w:rFonts w:hint="cs"/>
          <w:rtl/>
        </w:rPr>
        <w:t>ה</w:t>
      </w:r>
      <w:r>
        <w:rPr>
          <w:rFonts w:hint="cs"/>
          <w:rtl/>
        </w:rPr>
        <w:t>גדולה</w:t>
      </w:r>
      <w:r w:rsidR="00C77314">
        <w:rPr>
          <w:rFonts w:hint="cs"/>
          <w:rtl/>
        </w:rPr>
        <w:t xml:space="preserve"> של </w:t>
      </w:r>
      <w:proofErr w:type="spellStart"/>
      <w:r w:rsidR="00C77314">
        <w:rPr>
          <w:rFonts w:hint="cs"/>
          <w:rtl/>
        </w:rPr>
        <w:t>בעהמ"ח</w:t>
      </w:r>
      <w:proofErr w:type="spellEnd"/>
      <w:r>
        <w:rPr>
          <w:rFonts w:hint="cs"/>
          <w:rtl/>
        </w:rPr>
        <w:t xml:space="preserve"> בנושא</w:t>
      </w:r>
      <w:r w:rsidR="00C77314">
        <w:rPr>
          <w:rFonts w:hint="cs"/>
          <w:rtl/>
        </w:rPr>
        <w:t>,</w:t>
      </w:r>
      <w:r>
        <w:rPr>
          <w:rFonts w:hint="cs"/>
          <w:rtl/>
        </w:rPr>
        <w:t xml:space="preserve"> ושהוא יודע על מה הוא מדבר</w:t>
      </w:r>
      <w:r w:rsidR="00C77314">
        <w:rPr>
          <w:rFonts w:hint="cs"/>
          <w:rtl/>
        </w:rPr>
        <w:t>, ו</w:t>
      </w:r>
      <w:r>
        <w:rPr>
          <w:rFonts w:hint="cs"/>
          <w:rtl/>
        </w:rPr>
        <w:t>זה נרא</w:t>
      </w:r>
      <w:r w:rsidR="00C77314">
        <w:rPr>
          <w:rFonts w:hint="cs"/>
          <w:rtl/>
        </w:rPr>
        <w:t>ה</w:t>
      </w:r>
      <w:r>
        <w:rPr>
          <w:rFonts w:hint="cs"/>
          <w:rtl/>
        </w:rPr>
        <w:t xml:space="preserve"> משכנע</w:t>
      </w:r>
      <w:r w:rsidR="00C77314">
        <w:rPr>
          <w:rFonts w:hint="cs"/>
          <w:rtl/>
        </w:rPr>
        <w:t xml:space="preserve"> והכל,</w:t>
      </w:r>
      <w:r>
        <w:rPr>
          <w:rFonts w:hint="cs"/>
          <w:rtl/>
        </w:rPr>
        <w:t xml:space="preserve"> </w:t>
      </w:r>
      <w:r w:rsidR="00C77314">
        <w:rPr>
          <w:rFonts w:hint="cs"/>
          <w:rtl/>
        </w:rPr>
        <w:t xml:space="preserve">אבל </w:t>
      </w:r>
      <w:r>
        <w:rPr>
          <w:rFonts w:hint="cs"/>
          <w:rtl/>
        </w:rPr>
        <w:t xml:space="preserve">הבעיה הגדולה </w:t>
      </w:r>
      <w:r w:rsidR="00C77314">
        <w:rPr>
          <w:rFonts w:hint="cs"/>
          <w:rtl/>
        </w:rPr>
        <w:t>מתחיל</w:t>
      </w:r>
      <w:r>
        <w:rPr>
          <w:rFonts w:hint="cs"/>
          <w:rtl/>
        </w:rPr>
        <w:t xml:space="preserve"> כשלצורך העניין יש מאמר עם 12 טענות לכיוון אחד, ובא מאמר תגובה ומחריב 3 טענות מתוכן</w:t>
      </w:r>
      <w:r w:rsidR="00C77314">
        <w:rPr>
          <w:rFonts w:hint="cs"/>
          <w:rtl/>
        </w:rPr>
        <w:t>. אם מאמר התגובה</w:t>
      </w:r>
      <w:r>
        <w:rPr>
          <w:rFonts w:hint="cs"/>
          <w:rtl/>
        </w:rPr>
        <w:t xml:space="preserve"> באמת מנוסח כמו שצריך, הקורא יצא בתחושה שהמאמר כולו הופרך</w:t>
      </w:r>
      <w:r w:rsidR="005E4A64">
        <w:rPr>
          <w:rFonts w:hint="cs"/>
          <w:rtl/>
        </w:rPr>
        <w:t>. כך נוצר מצב שכותב מאמר שיש לו 3 סיבות טובות לטעון את מה שהוא טוען, מביא עוד ראיות ואנקדוטות לא מהותיות כדי לקשט ולהוסיף נפח ואוירה, ואז זה בא לו בהפוכה</w:t>
      </w:r>
      <w:r w:rsidR="00C77314">
        <w:rPr>
          <w:rFonts w:hint="cs"/>
          <w:rtl/>
        </w:rPr>
        <w:t xml:space="preserve">. </w:t>
      </w:r>
      <w:r w:rsidR="005E4A64">
        <w:rPr>
          <w:rFonts w:hint="cs"/>
          <w:rtl/>
        </w:rPr>
        <w:t>הוא הביא</w:t>
      </w:r>
      <w:r w:rsidR="00C77314">
        <w:rPr>
          <w:rFonts w:hint="cs"/>
          <w:rtl/>
        </w:rPr>
        <w:t xml:space="preserve"> פרפראות לחיזוק מסביב, אבל מה שקרה ז</w:t>
      </w:r>
      <w:r w:rsidR="005E4A64">
        <w:rPr>
          <w:rFonts w:hint="cs"/>
          <w:rtl/>
        </w:rPr>
        <w:t>ה שיש לו חוליות</w:t>
      </w:r>
      <w:r w:rsidR="00C77314">
        <w:rPr>
          <w:rFonts w:hint="cs"/>
          <w:rtl/>
        </w:rPr>
        <w:t xml:space="preserve"> חלשות</w:t>
      </w:r>
      <w:r w:rsidR="005E4A64">
        <w:rPr>
          <w:rFonts w:hint="cs"/>
          <w:rtl/>
        </w:rPr>
        <w:t xml:space="preserve"> חדשות שקל להתמודד </w:t>
      </w:r>
      <w:r w:rsidR="00C77314">
        <w:rPr>
          <w:rFonts w:hint="cs"/>
          <w:rtl/>
        </w:rPr>
        <w:t xml:space="preserve">איתן ולהראות שהן לא </w:t>
      </w:r>
      <w:proofErr w:type="spellStart"/>
      <w:r w:rsidR="00C77314">
        <w:rPr>
          <w:rFonts w:hint="cs"/>
          <w:rtl/>
        </w:rPr>
        <w:t>ומכיחות</w:t>
      </w:r>
      <w:proofErr w:type="spellEnd"/>
      <w:r w:rsidR="00C77314">
        <w:rPr>
          <w:rFonts w:hint="cs"/>
          <w:rtl/>
        </w:rPr>
        <w:t>,</w:t>
      </w:r>
      <w:r w:rsidR="005E4A64">
        <w:rPr>
          <w:rFonts w:hint="cs"/>
          <w:rtl/>
        </w:rPr>
        <w:t xml:space="preserve"> והן בעצם פוגעות ב</w:t>
      </w:r>
      <w:r w:rsidR="00C77314">
        <w:rPr>
          <w:rFonts w:hint="cs"/>
          <w:rtl/>
        </w:rPr>
        <w:t>יכולת ה</w:t>
      </w:r>
      <w:r w:rsidR="005E4A64">
        <w:rPr>
          <w:rFonts w:hint="cs"/>
          <w:rtl/>
        </w:rPr>
        <w:t>שכנוע של המאמר.</w:t>
      </w:r>
      <w:r w:rsidR="00C77314">
        <w:rPr>
          <w:rFonts w:hint="cs"/>
          <w:rtl/>
        </w:rPr>
        <w:t xml:space="preserve"> </w:t>
      </w:r>
    </w:p>
    <w:p w14:paraId="62815FA2" w14:textId="624D017C" w:rsidR="004029BD" w:rsidRDefault="005E4A64" w:rsidP="005E4A64">
      <w:pPr>
        <w:rPr>
          <w:rtl/>
        </w:rPr>
      </w:pPr>
      <w:r>
        <w:rPr>
          <w:rFonts w:hint="cs"/>
          <w:rtl/>
        </w:rPr>
        <w:t>ע</w:t>
      </w:r>
      <w:r w:rsidR="004029BD">
        <w:rPr>
          <w:rFonts w:hint="cs"/>
          <w:rtl/>
        </w:rPr>
        <w:t xml:space="preserve">ם הבעיה </w:t>
      </w:r>
      <w:r>
        <w:rPr>
          <w:rFonts w:hint="cs"/>
          <w:rtl/>
        </w:rPr>
        <w:t xml:space="preserve">הראשונה, </w:t>
      </w:r>
      <w:r w:rsidR="00C77314">
        <w:rPr>
          <w:rFonts w:hint="cs"/>
          <w:rtl/>
        </w:rPr>
        <w:t>בעיית</w:t>
      </w:r>
      <w:r>
        <w:rPr>
          <w:rFonts w:hint="cs"/>
          <w:rtl/>
        </w:rPr>
        <w:t xml:space="preserve"> ריבוי המאמרים,</w:t>
      </w:r>
      <w:r w:rsidR="004029BD">
        <w:rPr>
          <w:rFonts w:hint="cs"/>
          <w:rtl/>
        </w:rPr>
        <w:t xml:space="preserve"> אני לא הולך להתמודד</w:t>
      </w:r>
      <w:r w:rsidR="00C77314">
        <w:rPr>
          <w:rFonts w:hint="cs"/>
          <w:rtl/>
        </w:rPr>
        <w:t xml:space="preserve">. </w:t>
      </w:r>
      <w:r w:rsidR="004029BD">
        <w:rPr>
          <w:rFonts w:hint="cs"/>
          <w:rtl/>
        </w:rPr>
        <w:t>אדרבא, אני הולך להחמיר את הבעיה</w:t>
      </w:r>
      <w:r w:rsidR="00C77314">
        <w:rPr>
          <w:rFonts w:hint="cs"/>
          <w:rtl/>
        </w:rPr>
        <w:t xml:space="preserve"> ולכתוב מאמר נוסף.</w:t>
      </w:r>
    </w:p>
    <w:p w14:paraId="183EAEA2" w14:textId="7DF62948" w:rsidR="005E4A64" w:rsidRDefault="005E4A64" w:rsidP="005E4A64">
      <w:pPr>
        <w:rPr>
          <w:rtl/>
        </w:rPr>
      </w:pPr>
      <w:r>
        <w:rPr>
          <w:rFonts w:hint="cs"/>
          <w:rtl/>
        </w:rPr>
        <w:t xml:space="preserve">המטרה של המאמר הזה היא לנטרל עד כמה שניתן את הבעיה </w:t>
      </w:r>
      <w:proofErr w:type="spellStart"/>
      <w:r>
        <w:rPr>
          <w:rFonts w:hint="cs"/>
          <w:rtl/>
        </w:rPr>
        <w:t>השניה</w:t>
      </w:r>
      <w:proofErr w:type="spellEnd"/>
      <w:r>
        <w:rPr>
          <w:rFonts w:hint="cs"/>
          <w:rtl/>
        </w:rPr>
        <w:t xml:space="preserve">. אני השתכנעתי שהתכלת </w:t>
      </w:r>
      <w:proofErr w:type="spellStart"/>
      <w:r>
        <w:rPr>
          <w:rFonts w:hint="cs"/>
          <w:rtl/>
        </w:rPr>
        <w:t>מהארגמון</w:t>
      </w:r>
      <w:proofErr w:type="spellEnd"/>
      <w:r>
        <w:rPr>
          <w:rFonts w:hint="cs"/>
          <w:rtl/>
        </w:rPr>
        <w:t xml:space="preserve"> היא התכלת האמיתית. המאמר הזה בא להציג </w:t>
      </w:r>
      <w:r>
        <w:rPr>
          <w:rFonts w:hint="cs"/>
          <w:b/>
          <w:bCs/>
          <w:rtl/>
        </w:rPr>
        <w:t>רק</w:t>
      </w:r>
      <w:r>
        <w:rPr>
          <w:rFonts w:hint="cs"/>
          <w:rtl/>
        </w:rPr>
        <w:t xml:space="preserve"> את הטענה המרכזית בעיני. הפאנץ' במאמר עצמו. תוספות, הרחבות, ראיות, הפניות, ציטוטים, הסברים</w:t>
      </w:r>
      <w:r w:rsidR="0042201C">
        <w:rPr>
          <w:rFonts w:hint="cs"/>
          <w:rtl/>
        </w:rPr>
        <w:t xml:space="preserve"> ו</w:t>
      </w:r>
      <w:r>
        <w:rPr>
          <w:rFonts w:hint="cs"/>
          <w:rtl/>
        </w:rPr>
        <w:t>קישוטים</w:t>
      </w:r>
      <w:r w:rsidR="0042201C">
        <w:rPr>
          <w:rFonts w:hint="cs"/>
          <w:rtl/>
        </w:rPr>
        <w:t xml:space="preserve"> אחרים</w:t>
      </w:r>
      <w:r>
        <w:rPr>
          <w:rFonts w:hint="cs"/>
          <w:rtl/>
        </w:rPr>
        <w:t xml:space="preserve"> </w:t>
      </w:r>
      <w:r>
        <w:rPr>
          <w:rtl/>
        </w:rPr>
        <w:t>–</w:t>
      </w:r>
      <w:r>
        <w:rPr>
          <w:rFonts w:hint="cs"/>
          <w:rtl/>
        </w:rPr>
        <w:t xml:space="preserve"> בהערות שוליים</w:t>
      </w:r>
      <w:r w:rsidR="0042201C">
        <w:rPr>
          <w:rFonts w:hint="cs"/>
          <w:rtl/>
        </w:rPr>
        <w:t xml:space="preserve"> (שרובן מועתקות ממאמרו של הרב שמואל אריאל בנושא)</w:t>
      </w:r>
      <w:r>
        <w:rPr>
          <w:rFonts w:hint="cs"/>
          <w:rtl/>
        </w:rPr>
        <w:t>.</w:t>
      </w:r>
      <w:r w:rsidR="00C77314">
        <w:rPr>
          <w:rFonts w:hint="cs"/>
          <w:rtl/>
        </w:rPr>
        <w:t xml:space="preserve"> יש הרבה נקודות שחזו </w:t>
      </w:r>
      <w:proofErr w:type="spellStart"/>
      <w:r w:rsidR="00C77314">
        <w:rPr>
          <w:rFonts w:hint="cs"/>
          <w:rtl/>
        </w:rPr>
        <w:t>לאיצטרופי</w:t>
      </w:r>
      <w:proofErr w:type="spellEnd"/>
      <w:r w:rsidR="00C77314">
        <w:rPr>
          <w:rFonts w:hint="cs"/>
          <w:rtl/>
        </w:rPr>
        <w:t xml:space="preserve"> ויש בהן כדי לשכנע ולחזק, אבל יש גם דרכים אחרות להסביר אותן. פה זה רק המסר החד-משמעי בלי קישוטים.</w:t>
      </w:r>
    </w:p>
    <w:p w14:paraId="37BE3C18" w14:textId="77777777" w:rsidR="005E4A64" w:rsidRDefault="005E4A64" w:rsidP="005E4A64">
      <w:pPr>
        <w:rPr>
          <w:rtl/>
        </w:rPr>
      </w:pPr>
      <w:r>
        <w:rPr>
          <w:rFonts w:hint="cs"/>
          <w:rtl/>
        </w:rPr>
        <w:t>שיהיה לנו בהצלחה.</w:t>
      </w:r>
    </w:p>
    <w:p w14:paraId="181423E3" w14:textId="77777777" w:rsidR="005E4A64" w:rsidRDefault="005E4A64">
      <w:pPr>
        <w:bidi w:val="0"/>
      </w:pPr>
      <w:r>
        <w:br w:type="page"/>
      </w:r>
    </w:p>
    <w:p w14:paraId="57B173A9" w14:textId="77777777" w:rsidR="005E4A64" w:rsidRDefault="005E4A64" w:rsidP="005E4A64">
      <w:pPr>
        <w:rPr>
          <w:rtl/>
        </w:rPr>
      </w:pPr>
      <w:r>
        <w:rPr>
          <w:rFonts w:hint="cs"/>
          <w:b/>
          <w:bCs/>
          <w:rtl/>
        </w:rPr>
        <w:lastRenderedPageBreak/>
        <w:t>המאמר:</w:t>
      </w:r>
    </w:p>
    <w:p w14:paraId="4DAEFD13" w14:textId="6DC8E2DB" w:rsidR="005E4A64" w:rsidRDefault="005E4A64" w:rsidP="0042201C">
      <w:pPr>
        <w:rPr>
          <w:rtl/>
        </w:rPr>
      </w:pPr>
      <w:r>
        <w:rPr>
          <w:rFonts w:hint="cs"/>
          <w:rtl/>
        </w:rPr>
        <w:t>הוכיחו</w:t>
      </w:r>
      <w:r w:rsidR="00CB5C12">
        <w:rPr>
          <w:rStyle w:val="a5"/>
          <w:rtl/>
        </w:rPr>
        <w:footnoteReference w:id="1"/>
      </w:r>
      <w:r>
        <w:rPr>
          <w:rFonts w:hint="cs"/>
          <w:rtl/>
        </w:rPr>
        <w:t xml:space="preserve"> </w:t>
      </w:r>
      <w:proofErr w:type="spellStart"/>
      <w:r>
        <w:rPr>
          <w:rFonts w:hint="cs"/>
          <w:rtl/>
        </w:rPr>
        <w:t>שארגמון</w:t>
      </w:r>
      <w:proofErr w:type="spellEnd"/>
      <w:r>
        <w:rPr>
          <w:rFonts w:hint="cs"/>
          <w:rtl/>
        </w:rPr>
        <w:t>-קהה-קוצים</w:t>
      </w:r>
      <w:r w:rsidR="00CB5C12">
        <w:rPr>
          <w:rStyle w:val="a5"/>
          <w:rtl/>
        </w:rPr>
        <w:footnoteReference w:id="2"/>
      </w:r>
      <w:r>
        <w:rPr>
          <w:rFonts w:hint="cs"/>
          <w:rtl/>
        </w:rPr>
        <w:t xml:space="preserve"> שימש</w:t>
      </w:r>
      <w:r w:rsidR="002A06D6">
        <w:rPr>
          <w:rFonts w:hint="cs"/>
          <w:rtl/>
        </w:rPr>
        <w:t xml:space="preserve"> </w:t>
      </w:r>
      <w:r>
        <w:rPr>
          <w:rFonts w:hint="cs"/>
          <w:rtl/>
        </w:rPr>
        <w:t>לצביעה</w:t>
      </w:r>
      <w:r w:rsidR="00CB5C12">
        <w:rPr>
          <w:rStyle w:val="a5"/>
          <w:rtl/>
        </w:rPr>
        <w:footnoteReference w:id="3"/>
      </w:r>
      <w:r>
        <w:rPr>
          <w:rFonts w:hint="cs"/>
          <w:rtl/>
        </w:rPr>
        <w:t xml:space="preserve"> בצבע הרלוונטי</w:t>
      </w:r>
      <w:r w:rsidR="002A06D6">
        <w:rPr>
          <w:rStyle w:val="a5"/>
          <w:rtl/>
        </w:rPr>
        <w:footnoteReference w:id="4"/>
      </w:r>
      <w:r>
        <w:rPr>
          <w:rFonts w:hint="cs"/>
          <w:rtl/>
        </w:rPr>
        <w:t>, בתקופה הרלוונטית, במקומות הרלוונטיים. חז"ל, שהזהירו</w:t>
      </w:r>
      <w:r w:rsidR="0042201C">
        <w:rPr>
          <w:rStyle w:val="a5"/>
          <w:rtl/>
        </w:rPr>
        <w:footnoteReference w:id="5"/>
      </w:r>
      <w:r>
        <w:rPr>
          <w:rFonts w:hint="cs"/>
          <w:rtl/>
        </w:rPr>
        <w:t xml:space="preserve"> מזיופים אחרים של תכלת, לא הזהירו </w:t>
      </w:r>
      <w:proofErr w:type="spellStart"/>
      <w:r>
        <w:rPr>
          <w:rFonts w:hint="cs"/>
          <w:rtl/>
        </w:rPr>
        <w:t>מארגמון</w:t>
      </w:r>
      <w:proofErr w:type="spellEnd"/>
      <w:r>
        <w:rPr>
          <w:rFonts w:hint="cs"/>
          <w:rtl/>
        </w:rPr>
        <w:t>-קהה-קוצים</w:t>
      </w:r>
      <w:r w:rsidR="0042201C">
        <w:rPr>
          <w:rStyle w:val="a5"/>
          <w:rtl/>
        </w:rPr>
        <w:footnoteReference w:id="6"/>
      </w:r>
      <w:r w:rsidR="00CA5870">
        <w:rPr>
          <w:rFonts w:hint="cs"/>
          <w:rtl/>
        </w:rPr>
        <w:t>, למרות שהם בוודאי הכירו אותו.</w:t>
      </w:r>
    </w:p>
    <w:p w14:paraId="4D2FA435" w14:textId="77777777" w:rsidR="005E4A64" w:rsidRDefault="00CB5C12" w:rsidP="005E4A64">
      <w:pPr>
        <w:rPr>
          <w:rtl/>
        </w:rPr>
      </w:pPr>
      <w:r>
        <w:rPr>
          <w:rFonts w:hint="cs"/>
          <w:b/>
          <w:bCs/>
          <w:rtl/>
        </w:rPr>
        <w:t>מסקנה:</w:t>
      </w:r>
    </w:p>
    <w:p w14:paraId="37BB6B15" w14:textId="4EB3D5E2" w:rsidR="0042201C" w:rsidRDefault="00CB5C12" w:rsidP="0042201C">
      <w:pPr>
        <w:rPr>
          <w:rtl/>
        </w:rPr>
      </w:pPr>
      <w:proofErr w:type="spellStart"/>
      <w:r>
        <w:rPr>
          <w:rFonts w:hint="cs"/>
          <w:rtl/>
        </w:rPr>
        <w:t>ארגמון</w:t>
      </w:r>
      <w:proofErr w:type="spellEnd"/>
      <w:r>
        <w:rPr>
          <w:rFonts w:hint="cs"/>
          <w:rtl/>
        </w:rPr>
        <w:t xml:space="preserve">-קהה-קוצים הוא </w:t>
      </w:r>
      <w:proofErr w:type="spellStart"/>
      <w:r>
        <w:rPr>
          <w:rFonts w:hint="cs"/>
          <w:rtl/>
        </w:rPr>
        <w:t>ה</w:t>
      </w:r>
      <w:r w:rsidR="0042201C">
        <w:rPr>
          <w:rFonts w:hint="cs"/>
          <w:rtl/>
        </w:rPr>
        <w:t>חלזון</w:t>
      </w:r>
      <w:proofErr w:type="spellEnd"/>
      <w:r w:rsidR="0042201C">
        <w:rPr>
          <w:rFonts w:hint="cs"/>
          <w:rtl/>
        </w:rPr>
        <w:t xml:space="preserve"> שממנו הפיקו את הצבע לתכלת</w:t>
      </w:r>
      <w:r w:rsidR="00CA5870">
        <w:rPr>
          <w:rFonts w:hint="cs"/>
          <w:rtl/>
        </w:rPr>
        <w:t>.</w:t>
      </w:r>
    </w:p>
    <w:p w14:paraId="2C07D8B3" w14:textId="77777777" w:rsidR="00AF2E06" w:rsidRDefault="0042201C" w:rsidP="0042201C">
      <w:pPr>
        <w:rPr>
          <w:rtl/>
        </w:rPr>
      </w:pPr>
      <w:r>
        <w:rPr>
          <w:rFonts w:hint="cs"/>
          <w:rtl/>
        </w:rPr>
        <w:t>תעשו עם זה מה שאתם מבינים.</w:t>
      </w:r>
      <w:r>
        <w:rPr>
          <w:rStyle w:val="a5"/>
        </w:rPr>
        <w:footnoteReference w:id="7"/>
      </w:r>
    </w:p>
    <w:p w14:paraId="44111D39" w14:textId="77777777" w:rsidR="00AF2E06" w:rsidRDefault="00AF2E06">
      <w:pPr>
        <w:bidi w:val="0"/>
      </w:pPr>
      <w:r>
        <w:rPr>
          <w:rtl/>
        </w:rPr>
        <w:br w:type="page"/>
      </w:r>
    </w:p>
    <w:p w14:paraId="5F9AF783" w14:textId="77777777" w:rsidR="00CB5C12" w:rsidRDefault="004A5544" w:rsidP="0042201C">
      <w:pPr>
        <w:rPr>
          <w:b/>
          <w:bCs/>
          <w:rtl/>
        </w:rPr>
      </w:pPr>
      <w:r>
        <w:rPr>
          <w:rFonts w:hint="cs"/>
          <w:b/>
          <w:bCs/>
          <w:rtl/>
        </w:rPr>
        <w:lastRenderedPageBreak/>
        <w:t>שאלות נפוצות:</w:t>
      </w:r>
    </w:p>
    <w:p w14:paraId="57163454" w14:textId="65C30BD6" w:rsidR="00AF2E06" w:rsidRDefault="00AF2E06" w:rsidP="0042201C">
      <w:pPr>
        <w:rPr>
          <w:rtl/>
        </w:rPr>
      </w:pPr>
      <w:r>
        <w:rPr>
          <w:rFonts w:hint="cs"/>
          <w:rtl/>
        </w:rPr>
        <w:t>האמת, תכננתי שהמאמר יהיה הדבר היחיד, כדי שלא לבלבל את הקורא כמו שקורה במאמרים שכתבתי עליהם בהקדמה. לכן אני רק רוצה להגיב לכמה מהטענות המרכזיות שאני מכיר נגד הזיהוי והחידוש, למרות מה שכתבתי בהערה האחרונה.</w:t>
      </w:r>
    </w:p>
    <w:p w14:paraId="09E26F42" w14:textId="5ED3109A" w:rsidR="00AF2E06" w:rsidRDefault="00AF2E06" w:rsidP="0042201C">
      <w:pPr>
        <w:rPr>
          <w:rtl/>
        </w:rPr>
      </w:pPr>
      <w:r>
        <w:rPr>
          <w:rFonts w:hint="cs"/>
          <w:rtl/>
        </w:rPr>
        <w:t>יוהרה והוצאת לעז על הראשונים:</w:t>
      </w:r>
      <w:r w:rsidR="0093326A">
        <w:rPr>
          <w:rFonts w:hint="cs"/>
          <w:rtl/>
        </w:rPr>
        <w:t xml:space="preserve"> לא רלוונטי. להם לא היה תכלת, לי יש. </w:t>
      </w:r>
      <w:r w:rsidR="006D0AD2">
        <w:rPr>
          <w:rFonts w:hint="cs"/>
          <w:rtl/>
        </w:rPr>
        <w:t>להם לא היה כלים לחפש את זה כמו שצריך, לי יש. זה כמו לטעון שלהפריש תרומות ומעשרות זה הוצאת לעז על אבותינו שגרו בחו"ל. זה לא מתחיל בכלל.</w:t>
      </w:r>
    </w:p>
    <w:p w14:paraId="4ED2EA4D" w14:textId="4EBAC1C1" w:rsidR="00AF2E06" w:rsidRDefault="00AF2E06" w:rsidP="00AF2E06">
      <w:pPr>
        <w:rPr>
          <w:rtl/>
        </w:rPr>
      </w:pPr>
      <w:r>
        <w:rPr>
          <w:rFonts w:hint="cs"/>
          <w:rtl/>
        </w:rPr>
        <w:t>לא מתאים לסימנים שמופיעים בגמרא:</w:t>
      </w:r>
      <w:r w:rsidR="006D0AD2">
        <w:rPr>
          <w:rFonts w:hint="cs"/>
          <w:rtl/>
        </w:rPr>
        <w:t xml:space="preserve"> בקצרה- זה כן</w:t>
      </w:r>
      <w:r w:rsidR="004E43C0">
        <w:rPr>
          <w:rFonts w:hint="cs"/>
          <w:rtl/>
        </w:rPr>
        <w:t>. אם קוראים את הסימנים האלה כסימנים שנועדו לעזור לנו, דור העתיד, למצוא את החילזון הנכון, אז זה באמת לא ממש מסתדר. אבל אין שום סיבה לחשוב שזאת המטרה שלהם, אלא יותר אמירות רעיוניות עקרוניות בשביל מי שכן מכיר את החילזון. אם קוראים את זה ככה, זה מסתדר. לא סימנים מובהקים, סתם אנקדוטות.</w:t>
      </w:r>
    </w:p>
    <w:p w14:paraId="0C737613" w14:textId="0C169B9E" w:rsidR="004A5544" w:rsidRDefault="004A5544" w:rsidP="00AF2E06">
      <w:pPr>
        <w:rPr>
          <w:rtl/>
        </w:rPr>
      </w:pPr>
      <w:r>
        <w:rPr>
          <w:rFonts w:hint="cs"/>
          <w:rtl/>
        </w:rPr>
        <w:t>"כל גדולי הדור" לא הסכימו לזיהוי:</w:t>
      </w:r>
      <w:r w:rsidR="004E43C0">
        <w:rPr>
          <w:rFonts w:hint="cs"/>
          <w:rtl/>
        </w:rPr>
        <w:t xml:space="preserve"> לא נכון עובדתית. יש גדולי דור שכן קיבלו. אז נוריד את "כל". לשאלת הגדרת "גדולי הדור" אני לא רואה טעם להיכנס, ומי שרבותיו מורים לו שלא להטיל תכלת, אני לא אורה לו אחרת, אבל פה זה נעצר. זה לא יכול לתפוס כטיעון עקרוני בסוגיה.</w:t>
      </w:r>
    </w:p>
    <w:p w14:paraId="4485722C" w14:textId="5A5CC1A2" w:rsidR="004A5544" w:rsidRDefault="004A5544" w:rsidP="00AF2E06">
      <w:pPr>
        <w:rPr>
          <w:rtl/>
        </w:rPr>
      </w:pPr>
      <w:r>
        <w:rPr>
          <w:rFonts w:hint="cs"/>
          <w:rtl/>
        </w:rPr>
        <w:t>ע"פ הקבלה, התכלת תחזור כשיבנה המקדש:</w:t>
      </w:r>
      <w:r w:rsidR="004E43C0">
        <w:rPr>
          <w:rFonts w:hint="cs"/>
          <w:rtl/>
        </w:rPr>
        <w:t xml:space="preserve"> </w:t>
      </w:r>
    </w:p>
    <w:p w14:paraId="4E79CF76" w14:textId="77777777" w:rsidR="004A5544" w:rsidRDefault="004A5544" w:rsidP="00AF2E06">
      <w:pPr>
        <w:rPr>
          <w:rtl/>
        </w:rPr>
      </w:pPr>
      <w:r>
        <w:rPr>
          <w:rFonts w:hint="cs"/>
          <w:rtl/>
        </w:rPr>
        <w:t xml:space="preserve">מאין לנו שהזיהוי הזה לא יופרך כמו שקרה לדיונון של </w:t>
      </w:r>
      <w:proofErr w:type="spellStart"/>
      <w:r>
        <w:rPr>
          <w:rFonts w:hint="cs"/>
          <w:rtl/>
        </w:rPr>
        <w:t>ראדזין</w:t>
      </w:r>
      <w:proofErr w:type="spellEnd"/>
      <w:r>
        <w:rPr>
          <w:rFonts w:hint="cs"/>
          <w:rtl/>
        </w:rPr>
        <w:t xml:space="preserve"> </w:t>
      </w:r>
      <w:proofErr w:type="spellStart"/>
      <w:r>
        <w:rPr>
          <w:rFonts w:hint="cs"/>
          <w:rtl/>
        </w:rPr>
        <w:t>ולינטינה</w:t>
      </w:r>
      <w:proofErr w:type="spellEnd"/>
      <w:r>
        <w:rPr>
          <w:rFonts w:hint="cs"/>
          <w:rtl/>
        </w:rPr>
        <w:t xml:space="preserve"> של הרב הרצוג:</w:t>
      </w:r>
    </w:p>
    <w:p w14:paraId="3218B4AA" w14:textId="77777777" w:rsidR="004A5544" w:rsidRDefault="004A5544" w:rsidP="00AF2E06">
      <w:pPr>
        <w:rPr>
          <w:rtl/>
        </w:rPr>
      </w:pPr>
    </w:p>
    <w:p w14:paraId="78D7AC94" w14:textId="77777777" w:rsidR="004A5544" w:rsidRPr="00AF2E06" w:rsidRDefault="004A5544" w:rsidP="00AF2E06">
      <w:pPr>
        <w:rPr>
          <w:rtl/>
        </w:rPr>
      </w:pPr>
    </w:p>
    <w:sectPr w:rsidR="004A5544" w:rsidRPr="00AF2E06" w:rsidSect="0047260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AA860" w14:textId="77777777" w:rsidR="00A146BF" w:rsidRDefault="00A146BF" w:rsidP="00CB5C12">
      <w:pPr>
        <w:spacing w:after="0" w:line="240" w:lineRule="auto"/>
      </w:pPr>
      <w:r>
        <w:separator/>
      </w:r>
    </w:p>
  </w:endnote>
  <w:endnote w:type="continuationSeparator" w:id="0">
    <w:p w14:paraId="26DD0F2E" w14:textId="77777777" w:rsidR="00A146BF" w:rsidRDefault="00A146BF" w:rsidP="00CB5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ef">
    <w:panose1 w:val="00000500000000000000"/>
    <w:charset w:val="00"/>
    <w:family w:val="auto"/>
    <w:pitch w:val="variable"/>
    <w:sig w:usb0="00000807" w:usb1="40000000" w:usb2="00000000" w:usb3="00000000" w:csb0="000000B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74019" w14:textId="77777777" w:rsidR="00A146BF" w:rsidRDefault="00A146BF" w:rsidP="00CB5C12">
      <w:pPr>
        <w:spacing w:after="0" w:line="240" w:lineRule="auto"/>
      </w:pPr>
      <w:r>
        <w:separator/>
      </w:r>
    </w:p>
  </w:footnote>
  <w:footnote w:type="continuationSeparator" w:id="0">
    <w:p w14:paraId="7A655BB5" w14:textId="77777777" w:rsidR="00A146BF" w:rsidRDefault="00A146BF" w:rsidP="00CB5C12">
      <w:pPr>
        <w:spacing w:after="0" w:line="240" w:lineRule="auto"/>
      </w:pPr>
      <w:r>
        <w:continuationSeparator/>
      </w:r>
    </w:p>
  </w:footnote>
  <w:footnote w:id="1">
    <w:p w14:paraId="281C9D7D" w14:textId="77777777" w:rsidR="00CB5C12" w:rsidRDefault="00CB5C12" w:rsidP="00CB5C12">
      <w:pPr>
        <w:pStyle w:val="a3"/>
        <w:rPr>
          <w:rtl/>
        </w:rPr>
      </w:pPr>
      <w:r>
        <w:rPr>
          <w:rStyle w:val="a5"/>
        </w:rPr>
        <w:footnoteRef/>
      </w:r>
      <w:r>
        <w:rPr>
          <w:rtl/>
        </w:rPr>
        <w:t xml:space="preserve"> </w:t>
      </w:r>
      <w:r>
        <w:rPr>
          <w:rFonts w:hint="cs"/>
          <w:rtl/>
        </w:rPr>
        <w:t xml:space="preserve">במחקרים אקדמיים, בארכיאולוגיה, בכתבי גויים המסיחים לפי תומם שציירו את החילזון בספרי טבע ישנים </w:t>
      </w:r>
      <w:proofErr w:type="spellStart"/>
      <w:r>
        <w:rPr>
          <w:rFonts w:hint="cs"/>
          <w:rtl/>
        </w:rPr>
        <w:t>וכו</w:t>
      </w:r>
      <w:proofErr w:type="spellEnd"/>
      <w:r>
        <w:rPr>
          <w:rFonts w:hint="cs"/>
          <w:rtl/>
        </w:rPr>
        <w:t xml:space="preserve">'. בעניין השאלה אם אפשר לסמוך על המחקרים הנ"ל אפשר לדון, להרחבה עיינו במאמרו של הרב שמואל טל באסיף ד' על </w:t>
      </w:r>
      <w:proofErr w:type="spellStart"/>
      <w:r>
        <w:rPr>
          <w:rFonts w:hint="cs"/>
          <w:rtl/>
        </w:rPr>
        <w:t>אומדנא</w:t>
      </w:r>
      <w:proofErr w:type="spellEnd"/>
      <w:r>
        <w:rPr>
          <w:rFonts w:hint="cs"/>
          <w:rtl/>
        </w:rPr>
        <w:t xml:space="preserve"> </w:t>
      </w:r>
      <w:proofErr w:type="spellStart"/>
      <w:r>
        <w:rPr>
          <w:rFonts w:hint="cs"/>
          <w:rtl/>
        </w:rPr>
        <w:t>דמוכח</w:t>
      </w:r>
      <w:proofErr w:type="spellEnd"/>
      <w:r>
        <w:rPr>
          <w:rFonts w:hint="cs"/>
          <w:rtl/>
        </w:rPr>
        <w:t xml:space="preserve"> בחידוש מסורת שאבדה.</w:t>
      </w:r>
    </w:p>
  </w:footnote>
  <w:footnote w:id="2">
    <w:p w14:paraId="6CD2824C" w14:textId="77777777" w:rsidR="00CB5C12" w:rsidRDefault="00CB5C12">
      <w:pPr>
        <w:pStyle w:val="a3"/>
      </w:pPr>
      <w:r>
        <w:rPr>
          <w:rStyle w:val="a5"/>
        </w:rPr>
        <w:footnoteRef/>
      </w:r>
      <w:r>
        <w:rPr>
          <w:rtl/>
        </w:rPr>
        <w:t xml:space="preserve"> </w:t>
      </w:r>
      <w:r>
        <w:rPr>
          <w:rFonts w:hint="cs"/>
        </w:rPr>
        <w:t>MUREX-TRUNCULUS</w:t>
      </w:r>
      <w:r>
        <w:rPr>
          <w:rFonts w:hint="cs"/>
          <w:rtl/>
        </w:rPr>
        <w:t xml:space="preserve">, </w:t>
      </w:r>
      <w:proofErr w:type="spellStart"/>
      <w:r>
        <w:rPr>
          <w:rFonts w:hint="cs"/>
          <w:rtl/>
        </w:rPr>
        <w:t>פורפורא</w:t>
      </w:r>
      <w:proofErr w:type="spellEnd"/>
      <w:r>
        <w:rPr>
          <w:rFonts w:hint="cs"/>
          <w:rtl/>
        </w:rPr>
        <w:t>- תלוי איפה מסתכלים.</w:t>
      </w:r>
    </w:p>
  </w:footnote>
  <w:footnote w:id="3">
    <w:p w14:paraId="62DD9F29" w14:textId="77777777" w:rsidR="00CB5C12" w:rsidRDefault="00CB5C12" w:rsidP="00CB5C12">
      <w:pPr>
        <w:pStyle w:val="a3"/>
        <w:rPr>
          <w:rtl/>
        </w:rPr>
      </w:pPr>
      <w:r>
        <w:rPr>
          <w:rStyle w:val="a5"/>
        </w:rPr>
        <w:footnoteRef/>
      </w:r>
      <w:r>
        <w:rPr>
          <w:rtl/>
        </w:rPr>
        <w:t xml:space="preserve"> </w:t>
      </w:r>
      <w:r>
        <w:rPr>
          <w:rFonts w:hint="cs"/>
          <w:rtl/>
        </w:rPr>
        <w:t xml:space="preserve">יש שטענו שאולי </w:t>
      </w:r>
      <w:proofErr w:type="spellStart"/>
      <w:r>
        <w:rPr>
          <w:rFonts w:hint="cs"/>
          <w:rtl/>
        </w:rPr>
        <w:t>החלזון</w:t>
      </w:r>
      <w:proofErr w:type="spellEnd"/>
      <w:r>
        <w:rPr>
          <w:rFonts w:hint="cs"/>
          <w:rtl/>
        </w:rPr>
        <w:t xml:space="preserve"> שימש לאכילה או בניין. א. בחלק מן האתרים, נמצאו לצד הקונכיות שברי כלים, שעליהם שאריות צבע הזהה בהרכבו הכימי לצבע המופק מבלוטת </w:t>
      </w:r>
      <w:proofErr w:type="spellStart"/>
      <w:r>
        <w:rPr>
          <w:rFonts w:hint="cs"/>
          <w:rtl/>
        </w:rPr>
        <w:t>הארגמון</w:t>
      </w:r>
      <w:proofErr w:type="spellEnd"/>
      <w:r>
        <w:rPr>
          <w:rFonts w:hint="cs"/>
          <w:rtl/>
        </w:rPr>
        <w:t xml:space="preserve">. ב. בחלק מן האתרים, הקונכיות שנמצאו הן שלמות, מלבד נקב אחד - במקום בו מצויה בלוטת הצבע. מכאן עולה בבירור, </w:t>
      </w:r>
      <w:proofErr w:type="spellStart"/>
      <w:r>
        <w:rPr>
          <w:rFonts w:hint="cs"/>
          <w:rtl/>
        </w:rPr>
        <w:t>שהארגמון</w:t>
      </w:r>
      <w:proofErr w:type="spellEnd"/>
      <w:r>
        <w:rPr>
          <w:rFonts w:hint="cs"/>
          <w:rtl/>
        </w:rPr>
        <w:t xml:space="preserve"> ניצוד כדי להפיק את צבעו. ממצא מרשים במיוחד, הוא </w:t>
      </w:r>
      <w:proofErr w:type="spellStart"/>
      <w:r>
        <w:rPr>
          <w:rFonts w:hint="cs"/>
          <w:rtl/>
        </w:rPr>
        <w:t>ערימת</w:t>
      </w:r>
      <w:proofErr w:type="spellEnd"/>
      <w:r>
        <w:rPr>
          <w:rFonts w:hint="cs"/>
          <w:rtl/>
        </w:rPr>
        <w:t xml:space="preserve"> ענק שנמצאה </w:t>
      </w:r>
      <w:proofErr w:type="spellStart"/>
      <w:r>
        <w:rPr>
          <w:rFonts w:hint="cs"/>
          <w:rtl/>
        </w:rPr>
        <w:t>באיזור</w:t>
      </w:r>
      <w:proofErr w:type="spellEnd"/>
      <w:r>
        <w:rPr>
          <w:rFonts w:hint="cs"/>
          <w:rtl/>
        </w:rPr>
        <w:t xml:space="preserve"> צור, שאורכה </w:t>
      </w:r>
      <w:smartTag w:uri="urn:schemas-microsoft-com:office:smarttags" w:element="metricconverter">
        <w:smartTagPr>
          <w:attr w:name="ProductID" w:val="100 מטר"/>
        </w:smartTagPr>
        <w:r>
          <w:rPr>
            <w:rFonts w:hint="cs"/>
            <w:rtl/>
          </w:rPr>
          <w:t>100 מטר</w:t>
        </w:r>
      </w:smartTag>
      <w:r>
        <w:rPr>
          <w:rFonts w:hint="cs"/>
          <w:rtl/>
        </w:rPr>
        <w:t xml:space="preserve">, רוחבה </w:t>
      </w:r>
      <w:smartTag w:uri="urn:schemas-microsoft-com:office:smarttags" w:element="metricconverter">
        <w:smartTagPr>
          <w:attr w:name="ProductID" w:val="25 מטר"/>
        </w:smartTagPr>
        <w:r>
          <w:rPr>
            <w:rFonts w:hint="cs"/>
            <w:rtl/>
          </w:rPr>
          <w:t>25 מטר</w:t>
        </w:r>
      </w:smartTag>
      <w:r>
        <w:rPr>
          <w:rFonts w:hint="cs"/>
          <w:rtl/>
        </w:rPr>
        <w:t>, וגובהה 2-</w:t>
      </w:r>
      <w:smartTag w:uri="urn:schemas-microsoft-com:office:smarttags" w:element="metricconverter">
        <w:smartTagPr>
          <w:attr w:name="ProductID" w:val="3 מטרים"/>
        </w:smartTagPr>
        <w:r>
          <w:rPr>
            <w:rFonts w:hint="cs"/>
            <w:rtl/>
          </w:rPr>
          <w:t>3 מטרים</w:t>
        </w:r>
      </w:smartTag>
      <w:r>
        <w:rPr>
          <w:rFonts w:hint="cs"/>
          <w:rtl/>
        </w:rPr>
        <w:t xml:space="preserve">, וכולה מורכבת מקונכיות של </w:t>
      </w:r>
      <w:proofErr w:type="spellStart"/>
      <w:r>
        <w:rPr>
          <w:rFonts w:hint="cs"/>
          <w:rtl/>
        </w:rPr>
        <w:t>ארגמון</w:t>
      </w:r>
      <w:proofErr w:type="spellEnd"/>
      <w:r>
        <w:rPr>
          <w:rFonts w:hint="cs"/>
          <w:rtl/>
        </w:rPr>
        <w:t xml:space="preserve"> קהה קוצים - מאות מיליוני קונכיות. הדבר מעיד על תעשייה ענפה של צביעה, שהתקיימה במשך מאות שנים באותו </w:t>
      </w:r>
      <w:proofErr w:type="spellStart"/>
      <w:r>
        <w:rPr>
          <w:rFonts w:hint="cs"/>
          <w:rtl/>
        </w:rPr>
        <w:t>איזור</w:t>
      </w:r>
      <w:proofErr w:type="spellEnd"/>
      <w:r>
        <w:rPr>
          <w:rFonts w:hint="cs"/>
          <w:rtl/>
        </w:rPr>
        <w:t>, עד שנצברה כמות ענק כזו.</w:t>
      </w:r>
    </w:p>
  </w:footnote>
  <w:footnote w:id="4">
    <w:p w14:paraId="6B2FC3FB" w14:textId="77777777" w:rsidR="002A06D6" w:rsidRDefault="002A06D6" w:rsidP="002A06D6">
      <w:pPr>
        <w:pStyle w:val="a3"/>
      </w:pPr>
      <w:r>
        <w:rPr>
          <w:rStyle w:val="a5"/>
        </w:rPr>
        <w:footnoteRef/>
      </w:r>
      <w:r>
        <w:rPr>
          <w:rFonts w:hint="cs"/>
          <w:rtl/>
        </w:rPr>
        <w:t xml:space="preserve"> </w:t>
      </w:r>
      <w:r>
        <w:rPr>
          <w:rtl/>
        </w:rPr>
        <w:t xml:space="preserve">הגמרא אומרת בכמה מקומות, </w:t>
      </w:r>
      <w:proofErr w:type="spellStart"/>
      <w:r>
        <w:rPr>
          <w:rtl/>
        </w:rPr>
        <w:t>ש"קלא</w:t>
      </w:r>
      <w:proofErr w:type="spellEnd"/>
      <w:r>
        <w:rPr>
          <w:rtl/>
        </w:rPr>
        <w:t xml:space="preserve"> אילן" הוא צבע </w:t>
      </w:r>
      <w:r>
        <w:rPr>
          <w:rFonts w:hint="cs"/>
          <w:rtl/>
        </w:rPr>
        <w:t xml:space="preserve">הזהה </w:t>
      </w:r>
      <w:r>
        <w:rPr>
          <w:rtl/>
        </w:rPr>
        <w:t>ל</w:t>
      </w:r>
      <w:r>
        <w:rPr>
          <w:rFonts w:hint="cs"/>
          <w:rtl/>
        </w:rPr>
        <w:t>צבע ה</w:t>
      </w:r>
      <w:r>
        <w:rPr>
          <w:rtl/>
        </w:rPr>
        <w:t>תכלת, ולא ניתן להבחין ביניהם ב</w:t>
      </w:r>
      <w:r>
        <w:rPr>
          <w:rFonts w:hint="cs"/>
          <w:rtl/>
        </w:rPr>
        <w:t>ראיית ה</w:t>
      </w:r>
      <w:r>
        <w:rPr>
          <w:rtl/>
        </w:rPr>
        <w:t>עין</w:t>
      </w:r>
      <w:r>
        <w:rPr>
          <w:rFonts w:hint="cs"/>
          <w:rtl/>
        </w:rPr>
        <w:t>.</w:t>
      </w:r>
      <w:r>
        <w:rPr>
          <w:rtl/>
        </w:rPr>
        <w:t xml:space="preserve"> הגאונים והערוך מזהים את </w:t>
      </w:r>
      <w:proofErr w:type="spellStart"/>
      <w:r>
        <w:rPr>
          <w:rtl/>
        </w:rPr>
        <w:t>ה"קלא</w:t>
      </w:r>
      <w:proofErr w:type="spellEnd"/>
      <w:r>
        <w:rPr>
          <w:rtl/>
        </w:rPr>
        <w:t xml:space="preserve"> אילן" עם ה"אינדיגו" - צמח שממנו ניתן להפיק צבע כחול. </w:t>
      </w:r>
      <w:r>
        <w:rPr>
          <w:rFonts w:hint="cs"/>
          <w:rtl/>
        </w:rPr>
        <w:t xml:space="preserve">צמח זה ידוע ומוכר גם כיום, וכאשר משווים את הצבע המופק ממנו לצבע התכלת המופקת מן </w:t>
      </w:r>
      <w:proofErr w:type="spellStart"/>
      <w:r>
        <w:rPr>
          <w:rFonts w:hint="cs"/>
          <w:rtl/>
        </w:rPr>
        <w:t>הארגמון</w:t>
      </w:r>
      <w:proofErr w:type="spellEnd"/>
      <w:r>
        <w:rPr>
          <w:rFonts w:hint="cs"/>
          <w:rtl/>
        </w:rPr>
        <w:t>, הרי הם זהים לחלוטין, ולא ניתן להבדיל ביניהם.</w:t>
      </w:r>
    </w:p>
  </w:footnote>
  <w:footnote w:id="5">
    <w:p w14:paraId="227E5717" w14:textId="25044E9C" w:rsidR="0042201C" w:rsidRDefault="0042201C">
      <w:pPr>
        <w:pStyle w:val="a3"/>
        <w:rPr>
          <w:rtl/>
        </w:rPr>
      </w:pPr>
      <w:r>
        <w:rPr>
          <w:rStyle w:val="a5"/>
        </w:rPr>
        <w:footnoteRef/>
      </w:r>
      <w:r>
        <w:rPr>
          <w:rtl/>
        </w:rPr>
        <w:t xml:space="preserve"> </w:t>
      </w:r>
      <w:r w:rsidR="00586F7D">
        <w:rPr>
          <w:rFonts w:hint="cs"/>
          <w:rtl/>
        </w:rPr>
        <w:t xml:space="preserve">"אני הוא שהבחנתי במצרים בין </w:t>
      </w:r>
      <w:proofErr w:type="spellStart"/>
      <w:r w:rsidR="00586F7D">
        <w:rPr>
          <w:rFonts w:hint="cs"/>
          <w:rtl/>
        </w:rPr>
        <w:t>טפה</w:t>
      </w:r>
      <w:proofErr w:type="spellEnd"/>
      <w:r w:rsidR="00586F7D">
        <w:rPr>
          <w:rFonts w:hint="cs"/>
          <w:rtl/>
        </w:rPr>
        <w:t xml:space="preserve"> של </w:t>
      </w:r>
      <w:r w:rsidR="00586F7D" w:rsidRPr="00586F7D">
        <w:rPr>
          <w:rtl/>
        </w:rPr>
        <w:t xml:space="preserve">בכור לטפה שאינה של בכור אני הוא ושעתיד </w:t>
      </w:r>
      <w:proofErr w:type="spellStart"/>
      <w:r w:rsidR="00586F7D" w:rsidRPr="00586F7D">
        <w:rPr>
          <w:rtl/>
        </w:rPr>
        <w:t>ליפרע</w:t>
      </w:r>
      <w:proofErr w:type="spellEnd"/>
      <w:r w:rsidR="00586F7D" w:rsidRPr="00586F7D">
        <w:rPr>
          <w:rtl/>
        </w:rPr>
        <w:t xml:space="preserve"> ממי שתולה מעותיו </w:t>
      </w:r>
      <w:proofErr w:type="spellStart"/>
      <w:r w:rsidR="00586F7D" w:rsidRPr="00586F7D">
        <w:rPr>
          <w:rtl/>
        </w:rPr>
        <w:t>בנכרי</w:t>
      </w:r>
      <w:proofErr w:type="spellEnd"/>
      <w:r w:rsidR="00586F7D" w:rsidRPr="00586F7D">
        <w:rPr>
          <w:rtl/>
        </w:rPr>
        <w:t xml:space="preserve"> </w:t>
      </w:r>
      <w:proofErr w:type="spellStart"/>
      <w:r w:rsidR="00586F7D" w:rsidRPr="00586F7D">
        <w:rPr>
          <w:rtl/>
        </w:rPr>
        <w:t>ומלוה</w:t>
      </w:r>
      <w:proofErr w:type="spellEnd"/>
      <w:r w:rsidR="00586F7D" w:rsidRPr="00586F7D">
        <w:rPr>
          <w:rtl/>
        </w:rPr>
        <w:t xml:space="preserve"> אותם לישראל </w:t>
      </w:r>
      <w:proofErr w:type="spellStart"/>
      <w:r w:rsidR="00586F7D" w:rsidRPr="00586F7D">
        <w:rPr>
          <w:rtl/>
        </w:rPr>
        <w:t>ברבית</w:t>
      </w:r>
      <w:proofErr w:type="spellEnd"/>
      <w:r w:rsidR="00586F7D" w:rsidRPr="00586F7D">
        <w:rPr>
          <w:rtl/>
        </w:rPr>
        <w:t xml:space="preserve"> וממי שטומן משקלותיו במלח וממי שתולה </w:t>
      </w:r>
      <w:proofErr w:type="spellStart"/>
      <w:r w:rsidR="00586F7D" w:rsidRPr="00586F7D">
        <w:rPr>
          <w:rtl/>
        </w:rPr>
        <w:t>קלא</w:t>
      </w:r>
      <w:proofErr w:type="spellEnd"/>
      <w:r w:rsidR="00586F7D" w:rsidRPr="00586F7D">
        <w:rPr>
          <w:rtl/>
        </w:rPr>
        <w:t xml:space="preserve"> אילן בבגדו ואומר תכלת הוא</w:t>
      </w:r>
      <w:r w:rsidR="00586F7D">
        <w:rPr>
          <w:rFonts w:hint="cs"/>
          <w:rtl/>
        </w:rPr>
        <w:t>". (</w:t>
      </w:r>
      <w:proofErr w:type="spellStart"/>
      <w:r w:rsidR="00586F7D">
        <w:rPr>
          <w:rFonts w:hint="cs"/>
          <w:rtl/>
        </w:rPr>
        <w:t>ב"מ</w:t>
      </w:r>
      <w:proofErr w:type="spellEnd"/>
      <w:r w:rsidR="00586F7D">
        <w:rPr>
          <w:rFonts w:hint="cs"/>
          <w:rtl/>
        </w:rPr>
        <w:t xml:space="preserve"> </w:t>
      </w:r>
      <w:proofErr w:type="spellStart"/>
      <w:r w:rsidR="00586F7D">
        <w:rPr>
          <w:rFonts w:hint="cs"/>
          <w:rtl/>
        </w:rPr>
        <w:t>סא</w:t>
      </w:r>
      <w:proofErr w:type="spellEnd"/>
      <w:r w:rsidR="00586F7D">
        <w:rPr>
          <w:rFonts w:hint="cs"/>
          <w:rtl/>
        </w:rPr>
        <w:t>:, ועוד)</w:t>
      </w:r>
    </w:p>
  </w:footnote>
  <w:footnote w:id="6">
    <w:p w14:paraId="63DFDE34" w14:textId="77777777" w:rsidR="0042201C" w:rsidRDefault="0042201C">
      <w:pPr>
        <w:pStyle w:val="a3"/>
      </w:pPr>
      <w:r>
        <w:rPr>
          <w:rStyle w:val="a5"/>
        </w:rPr>
        <w:footnoteRef/>
      </w:r>
      <w:r>
        <w:rPr>
          <w:rtl/>
        </w:rPr>
        <w:t xml:space="preserve"> </w:t>
      </w:r>
      <w:r>
        <w:rPr>
          <w:rtl/>
        </w:rPr>
        <w:t>אם נניח שבאותה תקופה היו שני חלזונות שונים ששימשו לצביעה,  נצטרך להגיע למסקנה מוזרה מאד</w:t>
      </w:r>
      <w:r>
        <w:rPr>
          <w:rFonts w:hint="cs"/>
          <w:rtl/>
        </w:rPr>
        <w:t xml:space="preserve">: </w:t>
      </w:r>
      <w:r>
        <w:rPr>
          <w:rtl/>
        </w:rPr>
        <w:t>באורח פלא, נוצרה בין שני החלזונות הפרדה מוחלטת</w:t>
      </w:r>
      <w:r>
        <w:rPr>
          <w:rFonts w:hint="cs"/>
          <w:rtl/>
        </w:rPr>
        <w:t xml:space="preserve"> -</w:t>
      </w:r>
      <w:r>
        <w:rPr>
          <w:rtl/>
        </w:rPr>
        <w:t xml:space="preserve"> החילזון האחד מתואר בכתבי המדענים של אותה תקופה, והשתמרו ממנו שרידים ארכיאולוגיים, ואינו מוזכר כלל במקורותינו; ואילו החילזון השני מוזכר רק במקורותינו, ואינו מוזכר כלל בספרות החיצונית, ולא נשאר ממנו שום שריד ארכיאולוגי.</w:t>
      </w:r>
    </w:p>
  </w:footnote>
  <w:footnote w:id="7">
    <w:p w14:paraId="1E5C4A5B" w14:textId="77777777" w:rsidR="0042201C" w:rsidRDefault="0042201C">
      <w:pPr>
        <w:pStyle w:val="a3"/>
        <w:rPr>
          <w:rtl/>
        </w:rPr>
      </w:pPr>
      <w:r>
        <w:rPr>
          <w:rStyle w:val="a5"/>
        </w:rPr>
        <w:footnoteRef/>
      </w:r>
      <w:r>
        <w:rPr>
          <w:rtl/>
        </w:rPr>
        <w:t xml:space="preserve"> </w:t>
      </w:r>
      <w:r>
        <w:rPr>
          <w:rFonts w:hint="cs"/>
          <w:rtl/>
        </w:rPr>
        <w:t xml:space="preserve">כאן אנחנו נכנסים לשאלות של חידוש מסורת, </w:t>
      </w:r>
      <w:proofErr w:type="spellStart"/>
      <w:r>
        <w:rPr>
          <w:rFonts w:hint="cs"/>
          <w:rtl/>
        </w:rPr>
        <w:t>אומדנא</w:t>
      </w:r>
      <w:proofErr w:type="spellEnd"/>
      <w:r>
        <w:rPr>
          <w:rFonts w:hint="cs"/>
          <w:rtl/>
        </w:rPr>
        <w:t xml:space="preserve"> </w:t>
      </w:r>
      <w:proofErr w:type="spellStart"/>
      <w:r>
        <w:rPr>
          <w:rFonts w:hint="cs"/>
          <w:rtl/>
        </w:rPr>
        <w:t>דמוכח</w:t>
      </w:r>
      <w:proofErr w:type="spellEnd"/>
      <w:r>
        <w:rPr>
          <w:rFonts w:hint="cs"/>
          <w:rtl/>
        </w:rPr>
        <w:t xml:space="preserve">, הגדרת ספק, ספק דאורייתא </w:t>
      </w:r>
      <w:proofErr w:type="spellStart"/>
      <w:r>
        <w:rPr>
          <w:rFonts w:hint="cs"/>
          <w:rtl/>
        </w:rPr>
        <w:t>לחומרא</w:t>
      </w:r>
      <w:proofErr w:type="spellEnd"/>
      <w:r>
        <w:rPr>
          <w:rFonts w:hint="cs"/>
          <w:rtl/>
        </w:rPr>
        <w:t xml:space="preserve">, </w:t>
      </w:r>
      <w:r w:rsidR="00AF2E06">
        <w:rPr>
          <w:rFonts w:hint="cs"/>
          <w:rtl/>
        </w:rPr>
        <w:t>רמת החיוב, ביטול עשה, מצוות מעכבות, עשה לך רב, מנהג אבות- אני לא נכנס לזה. אני לא פוסק ולא מתיימר להיות כזה. אני רק מסדר את הדברים שכבר כתבו לפני.</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9BD"/>
    <w:rsid w:val="000E57B0"/>
    <w:rsid w:val="001B37DB"/>
    <w:rsid w:val="002540DE"/>
    <w:rsid w:val="002A06D6"/>
    <w:rsid w:val="002D3313"/>
    <w:rsid w:val="004029BD"/>
    <w:rsid w:val="0042201C"/>
    <w:rsid w:val="00472605"/>
    <w:rsid w:val="004A5544"/>
    <w:rsid w:val="004E43C0"/>
    <w:rsid w:val="00513322"/>
    <w:rsid w:val="0053499A"/>
    <w:rsid w:val="00586F7D"/>
    <w:rsid w:val="005E4A64"/>
    <w:rsid w:val="006D0AD2"/>
    <w:rsid w:val="0093326A"/>
    <w:rsid w:val="00A146BF"/>
    <w:rsid w:val="00AF2E06"/>
    <w:rsid w:val="00C77314"/>
    <w:rsid w:val="00CA5870"/>
    <w:rsid w:val="00CB5C12"/>
    <w:rsid w:val="00D20825"/>
    <w:rsid w:val="00D67C3C"/>
    <w:rsid w:val="00E41AB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5400383D"/>
  <w15:chartTrackingRefBased/>
  <w15:docId w15:val="{A65E21BA-847B-42F9-9E7A-A548C9D0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57B0"/>
    <w:pPr>
      <w:bidi/>
    </w:pPr>
    <w:rPr>
      <w:rFonts w:cs="Ale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CB5C12"/>
    <w:pPr>
      <w:spacing w:after="0" w:line="240" w:lineRule="auto"/>
    </w:pPr>
    <w:rPr>
      <w:sz w:val="20"/>
      <w:szCs w:val="20"/>
    </w:rPr>
  </w:style>
  <w:style w:type="character" w:customStyle="1" w:styleId="a4">
    <w:name w:val="טקסט הערת שוליים תו"/>
    <w:basedOn w:val="a0"/>
    <w:link w:val="a3"/>
    <w:uiPriority w:val="99"/>
    <w:semiHidden/>
    <w:rsid w:val="00CB5C12"/>
    <w:rPr>
      <w:rFonts w:cs="Alef"/>
      <w:sz w:val="20"/>
      <w:szCs w:val="20"/>
    </w:rPr>
  </w:style>
  <w:style w:type="character" w:styleId="a5">
    <w:name w:val="footnote reference"/>
    <w:basedOn w:val="a0"/>
    <w:semiHidden/>
    <w:unhideWhenUsed/>
    <w:rsid w:val="00CB5C1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3EAA4-ADA0-416B-B3C5-B1AB02F74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Pages>
  <Words>513</Words>
  <Characters>2570</Characters>
  <Application>Microsoft Office Word</Application>
  <DocSecurity>0</DocSecurity>
  <Lines>21</Lines>
  <Paragraphs>6</Paragraphs>
  <ScaleCrop>false</ScaleCrop>
  <HeadingPairs>
    <vt:vector size="2" baseType="variant">
      <vt:variant>
        <vt:lpstr>שם</vt:lpstr>
      </vt:variant>
      <vt:variant>
        <vt:i4>1</vt:i4>
      </vt:variant>
    </vt:vector>
  </HeadingPairs>
  <TitlesOfParts>
    <vt:vector size="1" baseType="lpstr">
      <vt:lpstr/>
    </vt:vector>
  </TitlesOfParts>
  <Company>Yaron'S Team</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אוריאל קורל</dc:creator>
  <cp:keywords/>
  <dc:description/>
  <cp:lastModifiedBy>KOURIEL3</cp:lastModifiedBy>
  <cp:revision>9</cp:revision>
  <dcterms:created xsi:type="dcterms:W3CDTF">2018-10-18T08:43:00Z</dcterms:created>
  <dcterms:modified xsi:type="dcterms:W3CDTF">2022-03-22T11:18:00Z</dcterms:modified>
</cp:coreProperties>
</file>