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Israel, version 1.0, dated 21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Israel, of the other part, signed on 21/02/2019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0.00%</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- 40.00% + Specific 100%</w:t>
            </w:r>
            <w:r>
              <w:br/>
            </w:r>
            <w:r>
              <w:t>01/04 to 30/04</w:t>
            </w:r>
            <w:r>
              <w:tab/>
              <w:t>Entry Price - 39.42% + Specific 100%</w:t>
            </w:r>
            <w:r>
              <w:br/>
            </w:r>
            <w:r>
              <w:t>01/05 to 15/05</w:t>
            </w:r>
            <w:r>
              <w:tab/>
              <w:t>Entry Price - 39.58% + Specific 100%</w:t>
            </w:r>
            <w:r>
              <w:br/>
            </w:r>
            <w:r>
              <w:t>16/05 to 31/05</w:t>
            </w:r>
            <w:r>
              <w:tab/>
              <w:t>Entry Price - 37.50% + Specific 100%</w:t>
            </w:r>
            <w:r>
              <w:br/>
            </w:r>
            <w:r>
              <w:t>01/06 to 15/10</w:t>
            </w:r>
            <w:r>
              <w:tab/>
              <w:t>1.20%</w:t>
            </w:r>
            <w:r>
              <w:br/>
            </w:r>
            <w:r>
              <w:t>16/10 to 30/11</w:t>
            </w:r>
            <w:r>
              <w:tab/>
              <w:t>6.40%</w:t>
            </w:r>
            <w:r>
              <w:br/>
            </w:r>
            <w:r>
              <w:t>01/12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- 40.00% + Specific 100%</w:t>
            </w:r>
            <w:r>
              <w:br/>
            </w:r>
            <w:r>
              <w:t>01/04 to 30/04</w:t>
            </w:r>
            <w:r>
              <w:tab/>
              <w:t>Entry Price - 39.42% + Specific 100%</w:t>
            </w:r>
            <w:r>
              <w:br/>
            </w:r>
            <w:r>
              <w:t>01/05 to 15/05</w:t>
            </w:r>
            <w:r>
              <w:tab/>
              <w:t>Entry Price - 39.58% + Specific 100%</w:t>
            </w:r>
            <w:r>
              <w:br/>
            </w:r>
            <w:r>
              <w:t>16/05 to 31/05</w:t>
            </w:r>
            <w:r>
              <w:tab/>
              <w:t>Entry Price - 37.50% + Specific 100%</w:t>
            </w:r>
            <w:r>
              <w:br/>
            </w:r>
            <w:r>
              <w:t>01/06 to 15/10</w:t>
            </w:r>
            <w:r>
              <w:tab/>
              <w:t>1.20%</w:t>
            </w:r>
            <w:r>
              <w:br/>
            </w:r>
            <w:r>
              <w:t>16/10 to 30/11</w:t>
            </w:r>
            <w:r>
              <w:tab/>
              <w:t>6.40%</w:t>
            </w:r>
            <w:r>
              <w:br/>
            </w:r>
            <w:r>
              <w:t>01/12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- 40.00% + Specific 100%</w:t>
            </w:r>
            <w:r>
              <w:br/>
            </w:r>
            <w:r>
              <w:t>01/04 to 30/04</w:t>
            </w:r>
            <w:r>
              <w:tab/>
              <w:t>Entry Price - 39.42% + Specific 100%</w:t>
            </w:r>
            <w:r>
              <w:br/>
            </w:r>
            <w:r>
              <w:t>01/05 to 15/05</w:t>
            </w:r>
            <w:r>
              <w:tab/>
              <w:t>Entry Price - 39.58% + Specific 100%</w:t>
            </w:r>
            <w:r>
              <w:br/>
            </w:r>
            <w:r>
              <w:t>16/05 to 31/05</w:t>
            </w:r>
            <w:r>
              <w:tab/>
              <w:t>Entry Price - 37.50% + Specific 100%</w:t>
            </w:r>
            <w:r>
              <w:br/>
            </w:r>
            <w:r>
              <w:t>01/06 to 15/10</w:t>
            </w:r>
            <w:r>
              <w:tab/>
              <w:t>1.20%</w:t>
            </w:r>
            <w:r>
              <w:br/>
            </w:r>
            <w:r>
              <w:t>16/10 to 30/11</w:t>
            </w:r>
            <w:r>
              <w:tab/>
              <w:t>6.40%</w:t>
            </w:r>
            <w:r>
              <w:br/>
            </w:r>
            <w:r>
              <w:t>01/12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6.40%</w:t>
            </w:r>
            <w:r>
              <w:br/>
            </w:r>
            <w:r>
              <w:t>01/04 to 15/10</w:t>
            </w:r>
            <w:r>
              <w:tab/>
              <w:t>4.80%</w:t>
            </w:r>
            <w:r>
              <w:br/>
            </w:r>
            <w:r>
              <w:t>16/10 to 31/12</w:t>
            </w:r>
            <w:r>
              <w:tab/>
              <w:t>6.40%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- 40.00% + Specific 100%</w:t>
            </w:r>
            <w:r>
              <w:br/>
            </w:r>
            <w:r>
              <w:t>01/03 to 31/10</w:t>
            </w:r>
            <w:r>
              <w:tab/>
              <w:t>6.40%</w:t>
            </w:r>
            <w:r>
              <w:br/>
            </w:r>
            <w:r>
              <w:t>01/11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- 40.00% + Specific 100%</w:t>
            </w:r>
            <w:r>
              <w:br/>
            </w:r>
            <w:r>
              <w:t>01/03 to 31/10</w:t>
            </w:r>
            <w:r>
              <w:tab/>
              <w:t>6.40%</w:t>
            </w:r>
            <w:r>
              <w:br/>
            </w:r>
            <w:r>
              <w:t>01/11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- 40.00% + Specific 100%</w:t>
            </w:r>
            <w:r>
              <w:br/>
            </w:r>
            <w:r>
              <w:t>01/03 to 31/10</w:t>
            </w:r>
            <w:r>
              <w:tab/>
              <w:t>6.40%</w:t>
            </w:r>
            <w:r>
              <w:br/>
            </w:r>
            <w:r>
              <w:t>01/11 to 31/12</w:t>
            </w:r>
            <w:r>
              <w:tab/>
              <w:t>Entry Price - 40.00%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20/07</w:t>
            </w:r>
            <w:r>
              <w:tab/>
              <w:t>0.00%</w:t>
            </w:r>
            <w:r>
              <w:br/>
            </w:r>
            <w:r>
              <w:t>21/07 to 31/07</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31/05</w:t>
            </w:r>
            <w:r>
              <w:tab/>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01/05 to 30/06</w:t>
            </w:r>
            <w:r>
              <w:tab/>
              <w:t>0.00%</w:t>
            </w:r>
            <w:r>
              <w:br/>
            </w:r>
            <w:r>
              <w:t>01/07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9,689,000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30/06</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177,000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0709 60 10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2,349,000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0702 00 00 07</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3,814,000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3,023,000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0805 10 22</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30,509,000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0805 10 80 10</w:t>
            </w:r>
          </w:p>
        </w:tc>
        <!-- End commodity code cell //-->
        <!-- Begin Preferential Quota Duty Rate cell //-->
        <w:tc>
          <w:tcPr>
            <w:tcBorders>
              <w:top w:val="single" w:sz="4" w:space="0" w:color="666666" w:themeColor="background1" w:themeShade="A6"/>
            </w:tcBorders>
          </w:tcPr>
          <w:tcPr>
            <w:vMerge w:val="restart"/>
          </w:tcPr>
          <w:p>
            <w:pPr>
              <w:pStyle w:val="NormalinTable"/>
            </w:pPr>
            <w:r>
              <w:t>0.00%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4,767,000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2009 12 00 90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2,898,000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0603 15 00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1,068,000 kg</w:t>
            </w:r>
          </w:p>
        </w:tc>
        <!-- End Quota Volume cell //-->
        <!-- Begin Quota Open Date cell //-->
        <w:tc>
          <w:tcPr>
            <w:tcBorders>
              <w:top w:val="single" w:sz="12" w:space="0" w:color="000000" w:themeColor="background1" w:themeShade="00"/>
            </w:tcBorders>
          </w:tcPr>
          <w:tcPr>
            <w:vMerge w:val="restart"/>
          </w:tcPr>
          <w:p>
            <w:pPr>
              <w:pStyle w:val="NormalinTable"/>
            </w:pPr>
            <w:r>
              <w:t>01/11</w:t>
            </w:r>
          </w:p>
        </w:tc>
        <!-- End Quota Open Date cell //-->
        <!-- Begin Quota Close Date cell //-->
        <w:tc>
          <w:tcPr>
            <w:tcBorders>
              <w:top w:val="single" w:sz="12" w:space="0" w:color="000000" w:themeColor="background1" w:themeShade="00"/>
            </w:tcBorders>
          </w:tcPr>
          <w:tcPr>
            <w:vMerge w:val="restart"/>
          </w:tcPr>
          <w:p>
            <w:pPr>
              <w:pStyle w:val="NormalinTable"/>
            </w:pPr>
            <w:r>
              <w:t>15/04</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0702 00 00 99</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681,000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091353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+ 6.580 € / 100 kg / net drained wt</w:t>
            </w:r>
          </w:p>
        </w:tc>
        <!-- End Preferential Quota Duty Rate cell //-->
        <!-- Begin Quota Volume cell //-->
        <w:tc>
          <w:tcPr>
            <w:tcBorders>
              <w:top w:val="single" w:sz="12" w:space="0" w:color="000000" w:themeColor="background1" w:themeShade="00"/>
            </w:tcBorders>
          </w:tcPr>
          <w:tcPr>
            <w:vMerge w:val="restart"/>
          </w:tcPr>
          <w:p>
            <w:pPr>
              <w:pStyle w:val="NormalinTable"/>
            </w:pPr>
            <w:r>
              <w:t>1,444,000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091354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+ 6.580 € / 100 kg / net drained wt</w:t>
            </w:r>
          </w:p>
        </w:tc>
        <!-- End Preferential Quota Duty Rate cell //-->
        <!-- Begin Quota Volume cell //-->
        <w:tc>
          <w:tcPr>
            <w:tcBorders>
              <w:top w:val="single" w:sz="12" w:space="0" w:color="000000" w:themeColor="background1" w:themeShade="00"/>
            </w:tcBorders>
          </w:tcPr>
          <w:tcPr>
            <w:vMerge w:val="restart"/>
          </w:tcPr>
          <w:p>
            <w:pPr>
              <w:pStyle w:val="NormalinTable"/>
            </w:pPr>
            <w:r>
              <w:t>735,000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0105 12 00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17,695 p/st</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0707 00 05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136,000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0712 90 30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163,000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0805 21 90 11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5,448,000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0805 22 00 20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0805 29 00 11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0805 21 90 11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2,136,000 kg</w:t>
            </w:r>
          </w:p>
        </w:tc>
        <!-- End Quota Volume cell //-->
        <!-- Begin Quota Open Date cell //-->
        <w:tc>
          <w:tcPr>
            <w:tcBorders>
              <w:top w:val="single" w:sz="12" w:space="0" w:color="000000" w:themeColor="background1" w:themeShade="00"/>
            </w:tcBorders>
          </w:tcPr>
          <w:tcPr>
            <w:vMerge w:val="restart"/>
          </w:tcPr>
          <w:p>
            <w:pPr>
              <w:pStyle w:val="NormalinTable"/>
            </w:pPr>
            <w:r>
              <w:t>15/03</w:t>
            </w:r>
          </w:p>
        </w:tc>
        <!-- End Quota Open Date cell //-->
        <!-- Begin Quota Close Date cell //-->
        <w:tc>
          <w:tcPr>
            <w:tcBorders>
              <w:top w:val="single" w:sz="12" w:space="0" w:color="000000" w:themeColor="background1" w:themeShade="00"/>
            </w:tcBorders>
          </w:tcPr>
          <w:tcPr>
            <w:vMerge w:val="restart"/>
          </w:tcPr>
          <w:p>
            <w:pPr>
              <w:pStyle w:val="NormalinTable"/>
            </w:pPr>
            <w:r>
              <w:t>30/09</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0805 22 00 20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0805 29 00 11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1602 31 19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681,000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1602 31 80 10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1602 32 19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272,000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1602 32 30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14,000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+ 21.420 €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341,000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1806 10 30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+ 26.690 €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1806 10 90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+ 35.620 €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1806 20 10</w:t>
            </w:r>
          </w:p>
        </w:tc>
        <!-- End commodity code cell //-->
        <!-- Begin Preferential Quota Duty Rate cell //-->
        <w:tc>
          <w:tcPr>
            <w:tcBorders>
              <w:top w:val="single" w:sz="4" w:space="0" w:color="666666" w:themeColor="background1" w:themeShade="A6"/>
            </w:tcBorders>
          </w:tcPr>
          <w:tcPr>
            <w:vMerge w:val="restart"/>
          </w:tcPr>
          <w:p>
            <w:pPr>
              <w:pStyle w:val="NormalinTable"/>
            </w:pPr>
            <w:r>
              <w:t>CAD - 0.00% + (AC MAX 18.70% + SD) 85%</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1806 20 70</w:t>
            </w:r>
          </w:p>
        </w:tc>
        <!-- End commodity code cell //-->
        <!-- Begin Preferential Quota Duty Rate cell //-->
        <w:tc>
          <w:tcPr>
            <w:tcBorders>
              <w:top w:val="single" w:sz="4" w:space="0" w:color="666666" w:themeColor="background1" w:themeShade="A6"/>
            </w:tcBorders>
          </w:tcPr>
          <w:tcPr>
            <w:vMerge w:val="restart"/>
          </w:tcPr>
          <w:p>
            <w:pPr>
              <w:pStyle w:val="NormalinTable"/>
            </w:pPr>
            <w:r>
              <w:t>CAD - 0.00% + (AC) 85%</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1806 20 80</w:t>
            </w:r>
          </w:p>
        </w:tc>
        <!-- End commodity code cell //-->
        <!-- Begin Preferential Quota Duty Rate cell //-->
        <w:tc>
          <w:tcPr>
            <w:tcBorders>
              <w:top w:val="single" w:sz="4" w:space="0" w:color="666666" w:themeColor="background1" w:themeShade="A6"/>
            </w:tcBorders>
          </w:tcPr>
          <w:tcPr>
            <w:vMerge w:val="restart"/>
          </w:tcPr>
          <w:p>
            <w:pPr>
              <w:pStyle w:val="NormalinTable"/>
            </w:pPr>
            <w:r>
              <w:t>CAD - 0.00% + (AC MAX 18.70% + SD) 85%</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1905 20 30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+ 17.220 €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436,000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1905 20 90</w:t>
            </w:r>
          </w:p>
        </w:tc>
        <!-- End commodity code cell //-->
        <!-- Begin Preferential Quota Duty Rate cell //-->
        <w:tc>
          <w:tcPr>
            <w:tcBorders>
              <w:top w:val="single" w:sz="4" w:space="0" w:color="666666" w:themeColor="background1" w:themeShade="A6"/>
            </w:tcBorders>
          </w:tcPr>
          <w:tcPr>
            <w:vMerge w:val="restart"/>
          </w:tcPr>
          <w:p>
            <w:pPr>
              <w:pStyle w:val="NormalinTable"/>
            </w:pPr>
            <w:r>
              <w:t>0.00% + 21.980 €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2002 90 91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107,000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2008 70 71 10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15,000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2009 90 21 11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2,677,000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2009 90 51 30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2009 90 59 39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2009 90 98 20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091380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121,600 l</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2204 30 92</w:t>
            </w:r>
          </w:p>
        </w:tc>
        <!-- End commodity code cell //-->
        <!-- Begin Preferential Quota Duty Rate cell //-->
        <w:tc>
          <w:tcPr>
            <w:tcBorders>
              <w:top w:val="single" w:sz="4" w:space="0" w:color="666666" w:themeColor="background1" w:themeShade="A6"/>
            </w:tcBorders>
          </w:tcPr>
          <w:tcPr>
            <w:vMerge w:val="restart"/>
          </w:tcPr>
          <w:p>
            <w:pPr>
              <w:pStyle w:val="NormalinTable"/>
            </w:pPr>
            <w:r>
              <w:t>Entry Price - 0.00% + Specific 100%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4,086,000 kg</w:t>
            </w:r>
          </w:p>
        </w:tc>
        <!-- End Quota Volume cell //-->
        <!-- Begin Quota Open Date cell //-->
        <w:tc>
          <w:tcPr>
            <w:tcBorders>
              <w:top w:val="single" w:sz="12" w:space="0" w:color="000000" w:themeColor="background1" w:themeShade="00"/>
            </w:tcBorders>
          </w:tcPr>
          <w:tcPr>
            <w:vMerge w:val="restart"/>
          </w:tcPr>
          <w:p>
            <w:pPr>
              <w:pStyle w:val="NormalinTable"/>
            </w:pPr>
            <w:r>
              <w:t>01/08</w:t>
            </w:r>
          </w:p>
        </w:tc>
        <!-- End Quota Open Date cell //-->
        <!-- Begin Quota Close Date cell //-->
        <w:tc>
          <w:tcPr>
            <w:tcBorders>
              <w:top w:val="single" w:sz="12" w:space="0" w:color="000000" w:themeColor="background1" w:themeShade="00"/>
            </w:tcBorders>
          </w:tcPr>
          <w:tcPr>
            <w:vMerge w:val="restart"/>
          </w:tcPr>
          <w:p>
            <w:pPr>
              <w:pStyle w:val="NormalinTable"/>
            </w:pPr>
            <w:r>
              <w:t>31/05</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681,000 kg</w:t>
            </w:r>
          </w:p>
        </w:tc>
        <!-- End Quota Volume cell //-->
        <!-- Begin Quota Open Date cell //-->
        <w:tc>
          <w:tcPr>
            <w:tcBorders>
              <w:top w:val="single" w:sz="12" w:space="0" w:color="000000" w:themeColor="background1" w:themeShade="00"/>
            </w:tcBorders>
          </w:tcPr>
          <w:tcPr>
            <w:vMerge w:val="restart"/>
          </w:tcPr>
          <w:p>
            <w:pPr>
              <w:pStyle w:val="NormalinTable"/>
            </w:pPr>
            <w:r>
              <w:t>01/11</w:t>
            </w:r>
          </w:p>
        </w:tc>
        <!-- End Quota Open Date cell //-->
        <!-- Begin Quota Close Date cell //-->
        <w:tc>
          <w:tcPr>
            <w:tcBorders>
              <w:top w:val="single" w:sz="12" w:space="0" w:color="000000" w:themeColor="background1" w:themeShade="00"/>
            </w:tcBorders>
          </w:tcPr>
          <w:tcPr>
            <w:vMerge w:val="restart"/>
          </w:tcPr>
          <w:p>
            <w:pPr>
              <w:pStyle w:val="NormalinTable"/>
            </w:pPr>
            <w:r>
              <w:t>30/04</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3505 20 00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34,000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094091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0207 42 30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545,000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0207 42 80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0207 52 90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094092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0207 27 10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76,000 kg</w:t>
            </w:r>
          </w:p>
        </w:tc>
        <!-- End Quota Volume cell //-->
        <!-- Begin Quota Open Date cell //-->
        <w:tc>
          <w:tcPr>
            <w:tcBorders>
              <w:top w:val="single" w:sz="12" w:space="0" w:color="000000" w:themeColor="background1" w:themeShade="00"/>
            </w:tcBorders>
          </w:tcPr>
          <w:tcPr>
            <w:vMerge w:val="restart"/>
          </w:tcPr>
          <w:p>
            <w:pPr>
              <w:pStyle w:val="NormalinTable"/>
            </w:pPr>
            <w:r>
              <w:t>01/01</w:t>
            </w:r>
          </w:p>
        </w:tc>
        <!-- End Quota Open Date cell //-->
        <!-- Begin Quota Close Date cell //-->
        <w:tc>
          <w:tcPr>
            <w:tcBorders>
              <w:top w:val="single" w:sz="12" w:space="0" w:color="000000" w:themeColor="background1" w:themeShade="00"/>
            </w:tcBorders>
          </w:tcPr>
          <w:tcPr>
            <w:vMerge w:val="restart"/>
          </w:tcPr>
          <w:p>
            <w:pPr>
              <w:pStyle w:val="NormalinTable"/>
            </w:pPr>
            <w:r>
              <w:t>31/12</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Israel, version 1.0, dated 21 February 2019</dc:title>
  <dc:subject/>
  <dc:creator>Department for International Trade - Trade Policy Group</dc:creator>
  <cp:keywords>Israel</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