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52"/>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52"/>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52"/>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52"/>
        </w:numPr>
        <w:spacing w:line="240" w:lineRule="auto"/>
        <w:contextualSpacing w:val="0"/>
      </w:pPr>
      <w:r>
        <w:t>medicaments (heading 3003 or 3004); or</w:t>
      </w:r>
    </w:p>
    <w:p w14:paraId="1F812263" w14:textId="77777777" w:rsidR="001423FB" w:rsidRDefault="001423FB" w:rsidP="001423FB">
      <w:pPr>
        <w:pStyle w:val="ListBullet"/>
        <w:numPr>
          <w:ilvl w:val="0"/>
          <w:numId w:val="52"/>
        </w:numPr>
        <w:spacing w:line="240" w:lineRule="auto"/>
        <w:contextualSpacing w:val="0"/>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w:t>
      </w:r>
      <w:proofErr w:type="spellStart"/>
      <w:r>
        <w:t>guaze</w:t>
      </w:r>
      <w:proofErr w:type="spellEnd"/>
      <w:r>
        <w:t xml:space="preserv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53"/>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53"/>
        </w:numPr>
        <w:spacing w:line="240" w:lineRule="auto"/>
        <w:contextualSpacing w:val="0"/>
      </w:pPr>
      <w:proofErr w:type="spellStart"/>
      <w:r>
        <w:t>fusel</w:t>
      </w:r>
      <w:proofErr w:type="spellEnd"/>
      <w:r>
        <w:t xml:space="preserve"> oil; </w:t>
      </w:r>
      <w:proofErr w:type="spellStart"/>
      <w:r>
        <w:t>Dippel's</w:t>
      </w:r>
      <w:proofErr w:type="spellEnd"/>
      <w:r>
        <w:t xml:space="preserve"> oil;</w:t>
      </w:r>
    </w:p>
    <w:p w14:paraId="09C697B3" w14:textId="77777777" w:rsidR="001423FB" w:rsidRDefault="001423FB" w:rsidP="001423FB">
      <w:pPr>
        <w:pStyle w:val="ListBullet"/>
        <w:numPr>
          <w:ilvl w:val="0"/>
          <w:numId w:val="53"/>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53"/>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53"/>
        </w:numPr>
        <w:spacing w:line="240" w:lineRule="auto"/>
        <w:contextualSpacing w:val="0"/>
      </w:pPr>
      <w:r>
        <w:t>ceramic firing testers, fusible (</w:t>
      </w:r>
      <w:proofErr w:type="spellStart"/>
      <w:r>
        <w:t>eg</w:t>
      </w:r>
      <w:proofErr w:type="spellEnd"/>
      <w:r>
        <w:t>,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54"/>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54"/>
        </w:numPr>
        <w:spacing w:line="240" w:lineRule="auto"/>
        <w:contextualSpacing w:val="0"/>
      </w:pPr>
      <w:r>
        <w:lastRenderedPageBreak/>
        <w:t>industrial waste;</w:t>
      </w:r>
    </w:p>
    <w:p w14:paraId="70608940" w14:textId="77777777" w:rsidR="001423FB" w:rsidRDefault="001423FB" w:rsidP="001423FB">
      <w:pPr>
        <w:pStyle w:val="ListBullet"/>
        <w:numPr>
          <w:ilvl w:val="0"/>
          <w:numId w:val="54"/>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54"/>
        </w:numPr>
        <w:spacing w:line="240" w:lineRule="auto"/>
        <w:contextualSpacing w:val="0"/>
      </w:pPr>
      <w:r>
        <w:t>clinical waste, as defined in note 6 (a) below.</w:t>
      </w:r>
    </w:p>
    <w:p w14:paraId="000A7561" w14:textId="77777777" w:rsidR="001423FB" w:rsidRDefault="001423FB" w:rsidP="001423FB">
      <w:pPr>
        <w:spacing w:line="240" w:lineRule="auto"/>
      </w:pPr>
      <w:r>
        <w:t xml:space="preserve">5. For the purposes of heading 3825, 'sewage sludge' means sludge arising from urban effluent treatment plant and includes </w:t>
      </w:r>
      <w:proofErr w:type="spellStart"/>
      <w:r>
        <w:t>pretreatment</w:t>
      </w:r>
      <w:proofErr w:type="spellEnd"/>
      <w:r>
        <w:t xml:space="preserve"> waste, scourings and </w:t>
      </w:r>
      <w:proofErr w:type="spellStart"/>
      <w:r>
        <w:t>unstabilised</w:t>
      </w:r>
      <w:proofErr w:type="spellEnd"/>
      <w:r>
        <w:t xml:space="preserve">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55"/>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w:t>
      </w:r>
      <w:proofErr w:type="spellStart"/>
      <w:r>
        <w:t>eg</w:t>
      </w:r>
      <w:proofErr w:type="spellEnd"/>
      <w:r>
        <w:t>, soiled dressings, used gloves and used syringes);</w:t>
      </w:r>
    </w:p>
    <w:p w14:paraId="3E4DB00C" w14:textId="77777777" w:rsidR="001423FB" w:rsidRDefault="001423FB" w:rsidP="001423FB">
      <w:pPr>
        <w:pStyle w:val="ListBullet"/>
        <w:numPr>
          <w:ilvl w:val="0"/>
          <w:numId w:val="55"/>
        </w:numPr>
        <w:spacing w:line="240" w:lineRule="auto"/>
        <w:contextualSpacing w:val="0"/>
      </w:pPr>
      <w:r>
        <w:t>waste organic solvents;</w:t>
      </w:r>
    </w:p>
    <w:p w14:paraId="4567A33C" w14:textId="77777777" w:rsidR="001423FB" w:rsidRDefault="001423FB" w:rsidP="001423FB">
      <w:pPr>
        <w:pStyle w:val="ListBullet"/>
        <w:numPr>
          <w:ilvl w:val="0"/>
          <w:numId w:val="55"/>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55"/>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Subheading Notes</w:t>
      </w:r>
    </w:p>
    <w:p w14:paraId="7193BE19" w14:textId="77777777" w:rsidR="001423FB" w:rsidRDefault="001423FB" w:rsidP="001423FB">
      <w:pPr>
        <w:spacing w:line="240" w:lineRule="auto"/>
      </w:pPr>
      <w:r>
        <w:t xml:space="preserve">Subheadings 3808 52 and 3808 59 cover only goods of heading 3808, containing one or more of the following substances: alachlor (ISO); aldicarb (ISO); aldrin (ISO); </w:t>
      </w:r>
      <w:proofErr w:type="spellStart"/>
      <w:r>
        <w:t>azinphos</w:t>
      </w:r>
      <w:proofErr w:type="spellEnd"/>
      <w:r>
        <w:t xml:space="preserve">-methyl (ISO); binapacryl (ISO); </w:t>
      </w:r>
      <w:proofErr w:type="spellStart"/>
      <w:r>
        <w:t>camphechlor</w:t>
      </w:r>
      <w:proofErr w:type="spellEnd"/>
      <w:r>
        <w:t xml:space="preserve"> (ISO) (</w:t>
      </w:r>
      <w:proofErr w:type="spellStart"/>
      <w:r>
        <w:t>toxaphene</w:t>
      </w:r>
      <w:proofErr w:type="spellEnd"/>
      <w:r>
        <w:t xml:space="preserve">); captafol (ISO); chlordane (ISO); chlordimeform (ISO); </w:t>
      </w:r>
      <w:proofErr w:type="spellStart"/>
      <w:r>
        <w:t>chlorobenzilate</w:t>
      </w:r>
      <w:proofErr w:type="spellEnd"/>
      <w:r>
        <w:t xml:space="preserve"> (ISO); DDT (ISO) (</w:t>
      </w:r>
      <w:proofErr w:type="spellStart"/>
      <w:r>
        <w:t>clofenotane</w:t>
      </w:r>
      <w:proofErr w:type="spellEnd"/>
      <w:r>
        <w:t xml:space="preserve"> (INN), 1,1,1-trichloro-2,2-bis(p-chlorophenyl)ethane); dieldrin (ISO, INN); 4,6-dinitro-o-cresol (DNOC (ISO)) or its salts; </w:t>
      </w:r>
      <w:proofErr w:type="spellStart"/>
      <w:r>
        <w:t>dinoseb</w:t>
      </w:r>
      <w:proofErr w:type="spellEnd"/>
      <w:r>
        <w:t xml:space="preserve"> (ISO), its salts or its esters; </w:t>
      </w:r>
      <w:proofErr w:type="spellStart"/>
      <w:r>
        <w:t>endosulfan</w:t>
      </w:r>
      <w:proofErr w:type="spellEnd"/>
      <w:r>
        <w:t xml:space="preserve"> (ISO); ethylene dibromide (ISO) (1,2-dibromoethane); ethylene dichloride (ISO) (1,2-dichloroethane); fluoroacetamide (ISO); heptachlor (ISO); hexachlorobenzene (ISO); 1,2,3,4,5,6-hexachlorocyclohexane (HCH (ISO)), including lindane (ISO, INN); mercury compounds; </w:t>
      </w:r>
      <w:proofErr w:type="spellStart"/>
      <w:r>
        <w:t>methamidophos</w:t>
      </w:r>
      <w:proofErr w:type="spellEnd"/>
      <w:r>
        <w:t xml:space="preserve"> (ISO); </w:t>
      </w:r>
      <w:proofErr w:type="spellStart"/>
      <w:r>
        <w:t>monocrotophos</w:t>
      </w:r>
      <w:proofErr w:type="spellEnd"/>
      <w:r>
        <w:t xml:space="preserve"> (ISO); oxirane (ethylene oxide); parathion (ISO); parathion-methyl (ISO) (methyl-parathion); penta-and-</w:t>
      </w:r>
      <w:proofErr w:type="spellStart"/>
      <w:r>
        <w:t>octabromodiphenyl</w:t>
      </w:r>
      <w:proofErr w:type="spellEnd"/>
      <w:r>
        <w:t xml:space="preserve"> ethers; pentachlorophenol (ISO), its salts or its esters; </w:t>
      </w:r>
      <w:proofErr w:type="spellStart"/>
      <w:r>
        <w:t>perfluorooctane</w:t>
      </w:r>
      <w:proofErr w:type="spellEnd"/>
      <w:r>
        <w:t xml:space="preserve"> </w:t>
      </w:r>
      <w:proofErr w:type="spellStart"/>
      <w:r>
        <w:t>sulphonic</w:t>
      </w:r>
      <w:proofErr w:type="spellEnd"/>
      <w:r>
        <w:t xml:space="preserve"> acid and its salts; </w:t>
      </w:r>
      <w:proofErr w:type="spellStart"/>
      <w:r>
        <w:t>perfluorooctane</w:t>
      </w:r>
      <w:proofErr w:type="spellEnd"/>
      <w:r>
        <w:t xml:space="preserve"> sulphonamides; </w:t>
      </w:r>
      <w:proofErr w:type="spellStart"/>
      <w:r>
        <w:t>perfluorooctane</w:t>
      </w:r>
      <w:proofErr w:type="spellEnd"/>
      <w:r>
        <w:t xml:space="preserve"> sulphonyl fluoride; </w:t>
      </w:r>
      <w:proofErr w:type="spellStart"/>
      <w:r>
        <w:t>phosphamidon</w:t>
      </w:r>
      <w:proofErr w:type="spellEnd"/>
      <w:r>
        <w:t xml:space="preserve"> (ISO); 2,4,5-T (ISO) (2,4,5-trichlorophenoxyacetic acid), its salts or its esters; tributyltin compounds.</w:t>
      </w:r>
    </w:p>
    <w:p w14:paraId="4BF0C549" w14:textId="77777777" w:rsidR="001423FB" w:rsidRDefault="001423FB" w:rsidP="001423FB">
      <w:pPr>
        <w:spacing w:line="240" w:lineRule="auto"/>
      </w:pPr>
      <w:r>
        <w:t xml:space="preserve">Subheading 3808 59 also covers </w:t>
      </w:r>
      <w:proofErr w:type="spellStart"/>
      <w:r>
        <w:t>dustable</w:t>
      </w:r>
      <w:proofErr w:type="spellEnd"/>
      <w:r>
        <w:t xml:space="preserve"> powder formulations containing a mixture of benomyl (ISO), carbofuran (ISO) and thiram (ISO).</w:t>
      </w:r>
    </w:p>
    <w:p w14:paraId="6ECD5344" w14:textId="77777777" w:rsidR="001423FB" w:rsidRDefault="001423FB" w:rsidP="001423FB">
      <w:pPr>
        <w:spacing w:line="240" w:lineRule="auto"/>
      </w:pPr>
      <w:r>
        <w:t xml:space="preserve">2. Subheadings 3808 61 to 3808 69 cover only goods of heading 3808, containing alpha-cypermethrin (ISO), bendiocarb (ISO), bifenthrin (ISO), </w:t>
      </w:r>
      <w:proofErr w:type="spellStart"/>
      <w:r>
        <w:t>chlorfenapyr</w:t>
      </w:r>
      <w:proofErr w:type="spellEnd"/>
      <w:r>
        <w:t xml:space="preserve"> (ISO), cyfluthrin (ISO), deltamethrin (INN, ISO), etofenprox (INN), fenitrothion (ISO), lambda-cyhalothrin (ISO), malathion (ISO), </w:t>
      </w:r>
      <w:proofErr w:type="spellStart"/>
      <w:r>
        <w:t>pirimiphos</w:t>
      </w:r>
      <w:proofErr w:type="spellEnd"/>
      <w:r>
        <w:t>-methyl (ISO) or propoxur (ISO).</w:t>
      </w:r>
    </w:p>
    <w:p w14:paraId="5600380F" w14:textId="77777777" w:rsidR="001423FB" w:rsidRDefault="001423FB" w:rsidP="001423FB">
      <w:pPr>
        <w:spacing w:line="240" w:lineRule="auto"/>
      </w:pPr>
      <w:r>
        <w:t xml:space="preserve">3. Subheadings 3824 81 to 3824 88 cover only mixtures and preparations containing one or more of the following substances: oxirane (ethylene oxide), polybrominated biphenyls (PBBs), polychlorinated biphenyls (PCBs), polychlorinated terphenyls (PCTs), tris(2,3-dibromopropyl) phosphate, aldrin (ISO), </w:t>
      </w:r>
      <w:proofErr w:type="spellStart"/>
      <w:r>
        <w:t>camphechlor</w:t>
      </w:r>
      <w:proofErr w:type="spellEnd"/>
      <w:r>
        <w:t xml:space="preserve"> (ISO) (</w:t>
      </w:r>
      <w:proofErr w:type="spellStart"/>
      <w:r>
        <w:t>toxaphene</w:t>
      </w:r>
      <w:proofErr w:type="spellEnd"/>
      <w:r>
        <w:t>), chlordane (ISO), chlordecone (ISO), DDT (ISO) (</w:t>
      </w:r>
      <w:proofErr w:type="spellStart"/>
      <w:r>
        <w:t>clofenotane</w:t>
      </w:r>
      <w:proofErr w:type="spellEnd"/>
      <w:r>
        <w:t xml:space="preserve"> (INN), 1,1,1-trichloro-2,2-bis(p-chlorophenyl)ethane), dieldrin (ISO, INN), </w:t>
      </w:r>
      <w:proofErr w:type="spellStart"/>
      <w:r>
        <w:t>endosulfan</w:t>
      </w:r>
      <w:proofErr w:type="spellEnd"/>
      <w:r>
        <w:t xml:space="preserve"> (ISO), endrin (ISO), heptachlor (ISO), </w:t>
      </w:r>
      <w:proofErr w:type="spellStart"/>
      <w:r>
        <w:t>mirex</w:t>
      </w:r>
      <w:proofErr w:type="spellEnd"/>
      <w:r>
        <w:t xml:space="preserve"> (ISO), 1,2,3,4,5,6-hexachlorocyclohexane (HCH (ISO)), including lindane (ISO, INN), </w:t>
      </w:r>
      <w:proofErr w:type="spellStart"/>
      <w:r>
        <w:t>pentachlorobenzene</w:t>
      </w:r>
      <w:proofErr w:type="spellEnd"/>
      <w:r>
        <w:t xml:space="preserve"> (ISO), hexachlorobenzene (ISO), </w:t>
      </w:r>
      <w:proofErr w:type="spellStart"/>
      <w:r>
        <w:t>perfluorooctane</w:t>
      </w:r>
      <w:proofErr w:type="spellEnd"/>
      <w:r>
        <w:t xml:space="preserve"> </w:t>
      </w:r>
      <w:proofErr w:type="spellStart"/>
      <w:r>
        <w:t>sulphonic</w:t>
      </w:r>
      <w:proofErr w:type="spellEnd"/>
      <w:r>
        <w:t xml:space="preserve"> acid, its salts, </w:t>
      </w:r>
      <w:proofErr w:type="spellStart"/>
      <w:r>
        <w:t>perfluorooctane</w:t>
      </w:r>
      <w:proofErr w:type="spellEnd"/>
      <w:r>
        <w:t xml:space="preserve"> sulphonamides, </w:t>
      </w:r>
      <w:proofErr w:type="spellStart"/>
      <w:r>
        <w:t>perfluorooctane</w:t>
      </w:r>
      <w:proofErr w:type="spellEnd"/>
      <w:r>
        <w:t xml:space="preserve"> sulphonyl fluoride or tetra-, penta-, hexa-, </w:t>
      </w:r>
      <w:proofErr w:type="spellStart"/>
      <w:r>
        <w:t>hepta</w:t>
      </w:r>
      <w:proofErr w:type="spellEnd"/>
      <w:r>
        <w:t xml:space="preserve">- or </w:t>
      </w:r>
      <w:proofErr w:type="spellStart"/>
      <w:r>
        <w:t>octabromodiphenyl</w:t>
      </w:r>
      <w:proofErr w:type="spellEnd"/>
      <w:r>
        <w:t xml:space="preserve">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Additional Chapter Note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219"/>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219"/>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219"/>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bookmarkStart w:id="0" w:name="_GoBack"/>
      <w:bookmarkEnd w:id="0"/>
    </w:p>
    <w:sectPr w:rsidR="00E4554C" w:rsidRPr="001423F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AC58" w14:textId="77777777" w:rsidR="003E5A4B" w:rsidRDefault="003E5A4B" w:rsidP="00A0507B">
      <w:pPr>
        <w:spacing w:after="0" w:line="240" w:lineRule="auto"/>
      </w:pPr>
      <w:r>
        <w:separator/>
      </w:r>
    </w:p>
  </w:endnote>
  <w:endnote w:type="continuationSeparator" w:id="0">
    <w:p w14:paraId="0AE5F80F" w14:textId="77777777" w:rsidR="003E5A4B" w:rsidRDefault="003E5A4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042A4" w14:textId="77777777" w:rsidR="003E5A4B" w:rsidRDefault="003E5A4B">
      <w:pPr>
        <w:spacing w:after="0" w:line="240" w:lineRule="auto"/>
      </w:pPr>
      <w:r>
        <w:separator/>
      </w:r>
    </w:p>
  </w:footnote>
  <w:footnote w:type="continuationSeparator" w:id="0">
    <w:p w14:paraId="3AFB8BF4" w14:textId="77777777" w:rsidR="003E5A4B" w:rsidRDefault="003E5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3FB"/>
    <w:rsid w:val="0014297C"/>
    <w:rsid w:val="00142FEF"/>
    <w:rsid w:val="0014475A"/>
    <w:rsid w:val="0014617D"/>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5A4B"/>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5A5D"/>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4D3"/>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4617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59284D-7799-43BE-8459-601812CE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2019-07-08T09:41:00Z</dcterms:created>
  <dcterms:modified xsi:type="dcterms:W3CDTF">2019-07-14T09:54:00Z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