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A4A" w14:textId="77777777" w:rsidR="00236035" w:rsidRDefault="00236035" w:rsidP="00236035">
      <w:pPr>
        <w:spacing w:line="240" w:lineRule="auto"/>
        <w:jc w:val="center"/>
      </w:pPr>
      <w:bookmarkStart w:id="0" w:name="_GoBack"/>
      <w:bookmarkEnd w:id="0"/>
      <w:r w:rsidRPr="004D1AA9">
        <w:rPr>
          <w:b/>
          <w:bCs/>
          <w:color w:val="000000"/>
        </w:rPr>
        <w:t xml:space="preserve">SECTION </w:t>
      </w:r>
      <w:r>
        <w:rPr>
          <w:b/>
          <w:bCs/>
          <w:color w:val="000000"/>
        </w:rPr>
        <w:t>XV</w:t>
      </w:r>
    </w:p>
    <w:p w14:paraId="5EAB26AA" w14:textId="77777777" w:rsidR="00236035" w:rsidRDefault="00236035" w:rsidP="00236035">
      <w:pPr>
        <w:pStyle w:val="Heading2"/>
        <w:spacing w:line="240" w:lineRule="auto"/>
      </w:pPr>
      <w:r>
        <w:t>Chapter 74</w:t>
      </w:r>
      <w:r>
        <w:br/>
        <w:t>Copper and Articles Thereof</w:t>
      </w:r>
    </w:p>
    <w:p w14:paraId="66F720EC" w14:textId="77777777" w:rsidR="00236035" w:rsidRDefault="00236035" w:rsidP="00236035">
      <w:pPr>
        <w:pStyle w:val="Heading3"/>
        <w:spacing w:before="240" w:after="120" w:line="240" w:lineRule="auto"/>
      </w:pPr>
      <w:r>
        <w:t>Chapter Notes</w:t>
      </w:r>
    </w:p>
    <w:p w14:paraId="31B6DD6B" w14:textId="77777777" w:rsidR="00236035" w:rsidRDefault="00236035" w:rsidP="00236035">
      <w:pPr>
        <w:spacing w:line="240" w:lineRule="auto"/>
      </w:pPr>
      <w:r>
        <w:t>1. In this chapter, the following expressions have the meanings hereby assigned to them:</w:t>
      </w:r>
    </w:p>
    <w:p w14:paraId="4F5929FC" w14:textId="77777777" w:rsidR="00236035" w:rsidRDefault="00236035" w:rsidP="00236035">
      <w:pPr>
        <w:pStyle w:val="ListBullet"/>
        <w:numPr>
          <w:ilvl w:val="0"/>
          <w:numId w:val="152"/>
        </w:numPr>
        <w:spacing w:line="240" w:lineRule="auto"/>
        <w:contextualSpacing w:val="0"/>
      </w:pPr>
      <w:r>
        <w:t>Refined copper:</w:t>
      </w:r>
    </w:p>
    <w:p w14:paraId="2AAC99C4" w14:textId="77777777" w:rsidR="00236035" w:rsidRDefault="00236035" w:rsidP="00236035">
      <w:pPr>
        <w:spacing w:line="240" w:lineRule="auto"/>
      </w:pPr>
      <w:r>
        <w:t>Metal containing at least 99.85% by weight of copper; or</w:t>
      </w:r>
    </w:p>
    <w:p w14:paraId="3A93B94A" w14:textId="4568983A" w:rsidR="00236035" w:rsidRDefault="00236035" w:rsidP="00236035">
      <w:pPr>
        <w:spacing w:line="240" w:lineRule="auto"/>
      </w:pPr>
      <w:r>
        <w:t>Metal containing at least 97.5% by weight of copper, provided that the content by weight of any other element does not exceed the limit specified in the following table:</w:t>
      </w:r>
    </w:p>
    <w:p w14:paraId="3917140A" w14:textId="0F0AF367" w:rsidR="00236035" w:rsidRDefault="00236035" w:rsidP="00236035">
      <w:pPr>
        <w:pStyle w:val="Heading3"/>
        <w:spacing w:before="240" w:after="120" w:line="240" w:lineRule="auto"/>
      </w:pPr>
      <w:r>
        <w:t>Other Elements</w:t>
      </w:r>
    </w:p>
    <w:tbl>
      <w:tblPr>
        <w:tblStyle w:val="GridTable1Light"/>
        <w:tblW w:w="4242" w:type="pct"/>
        <w:tblLook w:val="0020" w:firstRow="1" w:lastRow="0" w:firstColumn="0" w:lastColumn="0" w:noHBand="0" w:noVBand="0"/>
      </w:tblPr>
      <w:tblGrid>
        <w:gridCol w:w="1271"/>
        <w:gridCol w:w="4253"/>
        <w:gridCol w:w="2125"/>
      </w:tblGrid>
      <w:tr w:rsidR="00236035" w:rsidRPr="00EF1DF3" w14:paraId="2355641B" w14:textId="77777777" w:rsidTr="00EF1DF3">
        <w:trPr>
          <w:cnfStyle w:val="100000000000" w:firstRow="1" w:lastRow="0" w:firstColumn="0" w:lastColumn="0" w:oddVBand="0" w:evenVBand="0" w:oddHBand="0" w:evenHBand="0" w:firstRowFirstColumn="0" w:firstRowLastColumn="0" w:lastRowFirstColumn="0" w:lastRowLastColumn="0"/>
        </w:trPr>
        <w:tc>
          <w:tcPr>
            <w:tcW w:w="3611" w:type="pct"/>
            <w:gridSpan w:val="2"/>
            <w:hideMark/>
          </w:tcPr>
          <w:p w14:paraId="398711A6" w14:textId="77777777" w:rsidR="00236035" w:rsidRPr="00EF1DF3" w:rsidRDefault="00236035" w:rsidP="00236035">
            <w:pPr>
              <w:pStyle w:val="NormalinTable"/>
              <w:rPr>
                <w:b w:val="0"/>
                <w:bCs/>
                <w:sz w:val="21"/>
                <w:szCs w:val="28"/>
              </w:rPr>
            </w:pPr>
            <w:r w:rsidRPr="00EF1DF3">
              <w:rPr>
                <w:bCs/>
                <w:sz w:val="21"/>
                <w:szCs w:val="28"/>
              </w:rPr>
              <w:t>Element</w:t>
            </w:r>
          </w:p>
        </w:tc>
        <w:tc>
          <w:tcPr>
            <w:tcW w:w="1389" w:type="pct"/>
            <w:hideMark/>
          </w:tcPr>
          <w:p w14:paraId="0DBCE978" w14:textId="77777777" w:rsidR="00236035" w:rsidRPr="00EF1DF3" w:rsidRDefault="00236035" w:rsidP="00236035">
            <w:pPr>
              <w:pStyle w:val="NormalinTable"/>
              <w:jc w:val="right"/>
              <w:rPr>
                <w:b w:val="0"/>
                <w:bCs/>
                <w:sz w:val="21"/>
                <w:szCs w:val="28"/>
              </w:rPr>
            </w:pPr>
            <w:r w:rsidRPr="00EF1DF3">
              <w:rPr>
                <w:bCs/>
                <w:sz w:val="21"/>
                <w:szCs w:val="28"/>
              </w:rPr>
              <w:t>Limiting content% by weight</w:t>
            </w:r>
          </w:p>
        </w:tc>
      </w:tr>
      <w:tr w:rsidR="00236035" w:rsidRPr="00EF1DF3" w14:paraId="1385385C" w14:textId="77777777" w:rsidTr="00EF1DF3">
        <w:tc>
          <w:tcPr>
            <w:tcW w:w="831" w:type="pct"/>
            <w:hideMark/>
          </w:tcPr>
          <w:p w14:paraId="1DEE2C8A" w14:textId="77777777" w:rsidR="00236035" w:rsidRPr="00EF1DF3" w:rsidRDefault="00236035" w:rsidP="00236035">
            <w:pPr>
              <w:pStyle w:val="NormalinTable"/>
              <w:rPr>
                <w:sz w:val="21"/>
                <w:szCs w:val="28"/>
              </w:rPr>
            </w:pPr>
            <w:r w:rsidRPr="00EF1DF3">
              <w:rPr>
                <w:sz w:val="21"/>
                <w:szCs w:val="28"/>
              </w:rPr>
              <w:t>Ag</w:t>
            </w:r>
          </w:p>
        </w:tc>
        <w:tc>
          <w:tcPr>
            <w:tcW w:w="2780" w:type="pct"/>
            <w:hideMark/>
          </w:tcPr>
          <w:p w14:paraId="552F5D9C" w14:textId="77777777" w:rsidR="00236035" w:rsidRPr="00EF1DF3" w:rsidRDefault="00236035" w:rsidP="00236035">
            <w:pPr>
              <w:pStyle w:val="NormalinTable"/>
              <w:rPr>
                <w:sz w:val="21"/>
                <w:szCs w:val="28"/>
              </w:rPr>
            </w:pPr>
            <w:r w:rsidRPr="00EF1DF3">
              <w:rPr>
                <w:sz w:val="21"/>
                <w:szCs w:val="28"/>
              </w:rPr>
              <w:t>Silver</w:t>
            </w:r>
          </w:p>
        </w:tc>
        <w:tc>
          <w:tcPr>
            <w:tcW w:w="1389" w:type="pct"/>
            <w:hideMark/>
          </w:tcPr>
          <w:p w14:paraId="1526FB59" w14:textId="77777777" w:rsidR="00236035" w:rsidRPr="00EF1DF3" w:rsidRDefault="00236035" w:rsidP="00236035">
            <w:pPr>
              <w:pStyle w:val="NormalinTable"/>
              <w:jc w:val="right"/>
              <w:rPr>
                <w:sz w:val="21"/>
                <w:szCs w:val="28"/>
              </w:rPr>
            </w:pPr>
            <w:r w:rsidRPr="00EF1DF3">
              <w:rPr>
                <w:sz w:val="21"/>
                <w:szCs w:val="28"/>
              </w:rPr>
              <w:t>0.25</w:t>
            </w:r>
          </w:p>
        </w:tc>
      </w:tr>
      <w:tr w:rsidR="00236035" w:rsidRPr="00EF1DF3" w14:paraId="6B90CC59" w14:textId="77777777" w:rsidTr="00EF1DF3">
        <w:tc>
          <w:tcPr>
            <w:tcW w:w="831" w:type="pct"/>
            <w:hideMark/>
          </w:tcPr>
          <w:p w14:paraId="78CFEFA5" w14:textId="77777777" w:rsidR="00236035" w:rsidRPr="00EF1DF3" w:rsidRDefault="00236035" w:rsidP="00236035">
            <w:pPr>
              <w:pStyle w:val="NormalinTable"/>
              <w:rPr>
                <w:sz w:val="21"/>
                <w:szCs w:val="28"/>
              </w:rPr>
            </w:pPr>
            <w:r w:rsidRPr="00EF1DF3">
              <w:rPr>
                <w:sz w:val="21"/>
                <w:szCs w:val="28"/>
              </w:rPr>
              <w:t>As</w:t>
            </w:r>
          </w:p>
        </w:tc>
        <w:tc>
          <w:tcPr>
            <w:tcW w:w="2780" w:type="pct"/>
            <w:hideMark/>
          </w:tcPr>
          <w:p w14:paraId="5C297F0E" w14:textId="77777777" w:rsidR="00236035" w:rsidRPr="00EF1DF3" w:rsidRDefault="00236035" w:rsidP="00236035">
            <w:pPr>
              <w:pStyle w:val="NormalinTable"/>
              <w:rPr>
                <w:sz w:val="21"/>
                <w:szCs w:val="28"/>
              </w:rPr>
            </w:pPr>
            <w:r w:rsidRPr="00EF1DF3">
              <w:rPr>
                <w:sz w:val="21"/>
                <w:szCs w:val="28"/>
              </w:rPr>
              <w:t>Arsenic</w:t>
            </w:r>
          </w:p>
        </w:tc>
        <w:tc>
          <w:tcPr>
            <w:tcW w:w="1389" w:type="pct"/>
            <w:hideMark/>
          </w:tcPr>
          <w:p w14:paraId="3EFC2E80" w14:textId="77777777" w:rsidR="00236035" w:rsidRPr="00EF1DF3" w:rsidRDefault="00236035" w:rsidP="00236035">
            <w:pPr>
              <w:pStyle w:val="NormalinTable"/>
              <w:jc w:val="right"/>
              <w:rPr>
                <w:sz w:val="21"/>
                <w:szCs w:val="28"/>
              </w:rPr>
            </w:pPr>
            <w:r w:rsidRPr="00EF1DF3">
              <w:rPr>
                <w:sz w:val="21"/>
                <w:szCs w:val="28"/>
              </w:rPr>
              <w:t>0.5</w:t>
            </w:r>
          </w:p>
        </w:tc>
      </w:tr>
      <w:tr w:rsidR="00236035" w:rsidRPr="00EF1DF3" w14:paraId="1238709F" w14:textId="77777777" w:rsidTr="00EF1DF3">
        <w:tc>
          <w:tcPr>
            <w:tcW w:w="831" w:type="pct"/>
            <w:hideMark/>
          </w:tcPr>
          <w:p w14:paraId="2CFC6918" w14:textId="77777777" w:rsidR="00236035" w:rsidRPr="00EF1DF3" w:rsidRDefault="00236035" w:rsidP="00236035">
            <w:pPr>
              <w:pStyle w:val="NormalinTable"/>
              <w:rPr>
                <w:sz w:val="21"/>
                <w:szCs w:val="28"/>
              </w:rPr>
            </w:pPr>
            <w:r w:rsidRPr="00EF1DF3">
              <w:rPr>
                <w:sz w:val="21"/>
                <w:szCs w:val="28"/>
              </w:rPr>
              <w:t>Cd</w:t>
            </w:r>
          </w:p>
        </w:tc>
        <w:tc>
          <w:tcPr>
            <w:tcW w:w="2780" w:type="pct"/>
            <w:hideMark/>
          </w:tcPr>
          <w:p w14:paraId="6A5893CF" w14:textId="77777777" w:rsidR="00236035" w:rsidRPr="00EF1DF3" w:rsidRDefault="00236035" w:rsidP="00236035">
            <w:pPr>
              <w:pStyle w:val="NormalinTable"/>
              <w:rPr>
                <w:sz w:val="21"/>
                <w:szCs w:val="28"/>
              </w:rPr>
            </w:pPr>
            <w:r w:rsidRPr="00EF1DF3">
              <w:rPr>
                <w:sz w:val="21"/>
                <w:szCs w:val="28"/>
              </w:rPr>
              <w:t>Cadmium</w:t>
            </w:r>
          </w:p>
        </w:tc>
        <w:tc>
          <w:tcPr>
            <w:tcW w:w="1389" w:type="pct"/>
            <w:hideMark/>
          </w:tcPr>
          <w:p w14:paraId="632B6116" w14:textId="77777777" w:rsidR="00236035" w:rsidRPr="00EF1DF3" w:rsidRDefault="00236035" w:rsidP="00236035">
            <w:pPr>
              <w:pStyle w:val="NormalinTable"/>
              <w:jc w:val="right"/>
              <w:rPr>
                <w:sz w:val="21"/>
                <w:szCs w:val="28"/>
              </w:rPr>
            </w:pPr>
            <w:r w:rsidRPr="00EF1DF3">
              <w:rPr>
                <w:sz w:val="21"/>
                <w:szCs w:val="28"/>
              </w:rPr>
              <w:t>1.3</w:t>
            </w:r>
          </w:p>
        </w:tc>
      </w:tr>
      <w:tr w:rsidR="00236035" w:rsidRPr="00EF1DF3" w14:paraId="30DB7D7D" w14:textId="77777777" w:rsidTr="00EF1DF3">
        <w:tc>
          <w:tcPr>
            <w:tcW w:w="831" w:type="pct"/>
            <w:hideMark/>
          </w:tcPr>
          <w:p w14:paraId="1A453F42" w14:textId="77777777" w:rsidR="00236035" w:rsidRPr="00EF1DF3" w:rsidRDefault="00236035" w:rsidP="00236035">
            <w:pPr>
              <w:pStyle w:val="NormalinTable"/>
              <w:rPr>
                <w:sz w:val="21"/>
                <w:szCs w:val="28"/>
              </w:rPr>
            </w:pPr>
            <w:r w:rsidRPr="00EF1DF3">
              <w:rPr>
                <w:sz w:val="21"/>
                <w:szCs w:val="28"/>
              </w:rPr>
              <w:t>Cr</w:t>
            </w:r>
          </w:p>
        </w:tc>
        <w:tc>
          <w:tcPr>
            <w:tcW w:w="2780" w:type="pct"/>
            <w:hideMark/>
          </w:tcPr>
          <w:p w14:paraId="6D9882FE" w14:textId="77777777" w:rsidR="00236035" w:rsidRPr="00EF1DF3" w:rsidRDefault="00236035" w:rsidP="00236035">
            <w:pPr>
              <w:pStyle w:val="NormalinTable"/>
              <w:rPr>
                <w:sz w:val="21"/>
                <w:szCs w:val="28"/>
              </w:rPr>
            </w:pPr>
            <w:r w:rsidRPr="00EF1DF3">
              <w:rPr>
                <w:sz w:val="21"/>
                <w:szCs w:val="28"/>
              </w:rPr>
              <w:t>Chromium</w:t>
            </w:r>
          </w:p>
        </w:tc>
        <w:tc>
          <w:tcPr>
            <w:tcW w:w="1389" w:type="pct"/>
            <w:hideMark/>
          </w:tcPr>
          <w:p w14:paraId="0EE63713" w14:textId="77777777" w:rsidR="00236035" w:rsidRPr="00EF1DF3" w:rsidRDefault="00236035" w:rsidP="00236035">
            <w:pPr>
              <w:pStyle w:val="NormalinTable"/>
              <w:jc w:val="right"/>
              <w:rPr>
                <w:sz w:val="21"/>
                <w:szCs w:val="28"/>
              </w:rPr>
            </w:pPr>
            <w:r w:rsidRPr="00EF1DF3">
              <w:rPr>
                <w:sz w:val="21"/>
                <w:szCs w:val="28"/>
              </w:rPr>
              <w:t>1.4</w:t>
            </w:r>
          </w:p>
        </w:tc>
      </w:tr>
      <w:tr w:rsidR="00236035" w:rsidRPr="00EF1DF3" w14:paraId="20B9AF0E" w14:textId="77777777" w:rsidTr="00EF1DF3">
        <w:tc>
          <w:tcPr>
            <w:tcW w:w="831" w:type="pct"/>
            <w:hideMark/>
          </w:tcPr>
          <w:p w14:paraId="6F69F6FB" w14:textId="77777777" w:rsidR="00236035" w:rsidRPr="00EF1DF3" w:rsidRDefault="00236035" w:rsidP="00236035">
            <w:pPr>
              <w:pStyle w:val="NormalinTable"/>
              <w:rPr>
                <w:sz w:val="21"/>
                <w:szCs w:val="28"/>
              </w:rPr>
            </w:pPr>
            <w:r w:rsidRPr="00EF1DF3">
              <w:rPr>
                <w:sz w:val="21"/>
                <w:szCs w:val="28"/>
              </w:rPr>
              <w:t>Mg</w:t>
            </w:r>
          </w:p>
        </w:tc>
        <w:tc>
          <w:tcPr>
            <w:tcW w:w="2780" w:type="pct"/>
            <w:hideMark/>
          </w:tcPr>
          <w:p w14:paraId="4F34DB77" w14:textId="77777777" w:rsidR="00236035" w:rsidRPr="00EF1DF3" w:rsidRDefault="00236035" w:rsidP="00236035">
            <w:pPr>
              <w:pStyle w:val="NormalinTable"/>
              <w:rPr>
                <w:sz w:val="21"/>
                <w:szCs w:val="28"/>
              </w:rPr>
            </w:pPr>
            <w:r w:rsidRPr="00EF1DF3">
              <w:rPr>
                <w:sz w:val="21"/>
                <w:szCs w:val="28"/>
              </w:rPr>
              <w:t>Magnesium</w:t>
            </w:r>
          </w:p>
        </w:tc>
        <w:tc>
          <w:tcPr>
            <w:tcW w:w="1389" w:type="pct"/>
            <w:hideMark/>
          </w:tcPr>
          <w:p w14:paraId="39D44DCE"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6A8D8618" w14:textId="77777777" w:rsidTr="00EF1DF3">
        <w:tc>
          <w:tcPr>
            <w:tcW w:w="831" w:type="pct"/>
            <w:hideMark/>
          </w:tcPr>
          <w:p w14:paraId="0E7D700D" w14:textId="77777777" w:rsidR="00236035" w:rsidRPr="00EF1DF3" w:rsidRDefault="00236035" w:rsidP="00236035">
            <w:pPr>
              <w:pStyle w:val="NormalinTable"/>
              <w:rPr>
                <w:sz w:val="21"/>
                <w:szCs w:val="28"/>
              </w:rPr>
            </w:pPr>
            <w:r w:rsidRPr="00EF1DF3">
              <w:rPr>
                <w:sz w:val="21"/>
                <w:szCs w:val="28"/>
              </w:rPr>
              <w:t>Pb</w:t>
            </w:r>
          </w:p>
        </w:tc>
        <w:tc>
          <w:tcPr>
            <w:tcW w:w="2780" w:type="pct"/>
            <w:hideMark/>
          </w:tcPr>
          <w:p w14:paraId="7D404C87" w14:textId="77777777" w:rsidR="00236035" w:rsidRPr="00EF1DF3" w:rsidRDefault="00236035" w:rsidP="00236035">
            <w:pPr>
              <w:pStyle w:val="NormalinTable"/>
              <w:rPr>
                <w:sz w:val="21"/>
                <w:szCs w:val="28"/>
              </w:rPr>
            </w:pPr>
            <w:r w:rsidRPr="00EF1DF3">
              <w:rPr>
                <w:sz w:val="21"/>
                <w:szCs w:val="28"/>
              </w:rPr>
              <w:t>Lead</w:t>
            </w:r>
          </w:p>
        </w:tc>
        <w:tc>
          <w:tcPr>
            <w:tcW w:w="1389" w:type="pct"/>
            <w:hideMark/>
          </w:tcPr>
          <w:p w14:paraId="26C4E4E2" w14:textId="77777777" w:rsidR="00236035" w:rsidRPr="00EF1DF3" w:rsidRDefault="00236035" w:rsidP="00236035">
            <w:pPr>
              <w:pStyle w:val="NormalinTable"/>
              <w:jc w:val="right"/>
              <w:rPr>
                <w:sz w:val="21"/>
                <w:szCs w:val="28"/>
              </w:rPr>
            </w:pPr>
            <w:r w:rsidRPr="00EF1DF3">
              <w:rPr>
                <w:sz w:val="21"/>
                <w:szCs w:val="28"/>
              </w:rPr>
              <w:t>1.5</w:t>
            </w:r>
          </w:p>
        </w:tc>
      </w:tr>
      <w:tr w:rsidR="00236035" w:rsidRPr="00EF1DF3" w14:paraId="1ACFE6AC" w14:textId="77777777" w:rsidTr="00EF1DF3">
        <w:tc>
          <w:tcPr>
            <w:tcW w:w="831" w:type="pct"/>
            <w:hideMark/>
          </w:tcPr>
          <w:p w14:paraId="525E384F" w14:textId="77777777" w:rsidR="00236035" w:rsidRPr="00EF1DF3" w:rsidRDefault="00236035" w:rsidP="00236035">
            <w:pPr>
              <w:pStyle w:val="NormalinTable"/>
              <w:rPr>
                <w:sz w:val="21"/>
                <w:szCs w:val="28"/>
              </w:rPr>
            </w:pPr>
            <w:r w:rsidRPr="00EF1DF3">
              <w:rPr>
                <w:sz w:val="21"/>
                <w:szCs w:val="28"/>
              </w:rPr>
              <w:t>S</w:t>
            </w:r>
          </w:p>
        </w:tc>
        <w:tc>
          <w:tcPr>
            <w:tcW w:w="2780" w:type="pct"/>
            <w:hideMark/>
          </w:tcPr>
          <w:p w14:paraId="03A316A1" w14:textId="77777777" w:rsidR="00236035" w:rsidRPr="00EF1DF3" w:rsidRDefault="00236035" w:rsidP="00236035">
            <w:pPr>
              <w:pStyle w:val="NormalinTable"/>
              <w:rPr>
                <w:sz w:val="21"/>
                <w:szCs w:val="28"/>
              </w:rPr>
            </w:pPr>
            <w:r w:rsidRPr="00EF1DF3">
              <w:rPr>
                <w:sz w:val="21"/>
                <w:szCs w:val="28"/>
              </w:rPr>
              <w:t>Sulphur</w:t>
            </w:r>
          </w:p>
        </w:tc>
        <w:tc>
          <w:tcPr>
            <w:tcW w:w="1389" w:type="pct"/>
            <w:hideMark/>
          </w:tcPr>
          <w:p w14:paraId="22A7CF7E" w14:textId="77777777" w:rsidR="00236035" w:rsidRPr="00EF1DF3" w:rsidRDefault="00236035" w:rsidP="00236035">
            <w:pPr>
              <w:pStyle w:val="NormalinTable"/>
              <w:jc w:val="right"/>
              <w:rPr>
                <w:sz w:val="21"/>
                <w:szCs w:val="28"/>
              </w:rPr>
            </w:pPr>
            <w:r w:rsidRPr="00EF1DF3">
              <w:rPr>
                <w:sz w:val="21"/>
                <w:szCs w:val="28"/>
              </w:rPr>
              <w:t>0.7</w:t>
            </w:r>
          </w:p>
        </w:tc>
      </w:tr>
      <w:tr w:rsidR="00236035" w:rsidRPr="00EF1DF3" w14:paraId="489E1AC3" w14:textId="77777777" w:rsidTr="00EF1DF3">
        <w:tc>
          <w:tcPr>
            <w:tcW w:w="831" w:type="pct"/>
            <w:hideMark/>
          </w:tcPr>
          <w:p w14:paraId="34D11C6B" w14:textId="77777777" w:rsidR="00236035" w:rsidRPr="00EF1DF3" w:rsidRDefault="00236035" w:rsidP="00236035">
            <w:pPr>
              <w:pStyle w:val="NormalinTable"/>
              <w:rPr>
                <w:sz w:val="21"/>
                <w:szCs w:val="28"/>
              </w:rPr>
            </w:pPr>
            <w:r w:rsidRPr="00EF1DF3">
              <w:rPr>
                <w:sz w:val="21"/>
                <w:szCs w:val="28"/>
              </w:rPr>
              <w:t>Sn</w:t>
            </w:r>
          </w:p>
        </w:tc>
        <w:tc>
          <w:tcPr>
            <w:tcW w:w="2780" w:type="pct"/>
            <w:hideMark/>
          </w:tcPr>
          <w:p w14:paraId="553BF6BB" w14:textId="77777777" w:rsidR="00236035" w:rsidRPr="00EF1DF3" w:rsidRDefault="00236035" w:rsidP="00236035">
            <w:pPr>
              <w:pStyle w:val="NormalinTable"/>
              <w:rPr>
                <w:sz w:val="21"/>
                <w:szCs w:val="28"/>
              </w:rPr>
            </w:pPr>
            <w:r w:rsidRPr="00EF1DF3">
              <w:rPr>
                <w:sz w:val="21"/>
                <w:szCs w:val="28"/>
              </w:rPr>
              <w:t>Tin</w:t>
            </w:r>
          </w:p>
        </w:tc>
        <w:tc>
          <w:tcPr>
            <w:tcW w:w="1389" w:type="pct"/>
            <w:hideMark/>
          </w:tcPr>
          <w:p w14:paraId="7875572C"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208E76CC" w14:textId="77777777" w:rsidTr="00EF1DF3">
        <w:tc>
          <w:tcPr>
            <w:tcW w:w="831" w:type="pct"/>
            <w:hideMark/>
          </w:tcPr>
          <w:p w14:paraId="74757457" w14:textId="77777777" w:rsidR="00236035" w:rsidRPr="00EF1DF3" w:rsidRDefault="00236035" w:rsidP="00236035">
            <w:pPr>
              <w:pStyle w:val="NormalinTable"/>
              <w:rPr>
                <w:sz w:val="21"/>
                <w:szCs w:val="28"/>
              </w:rPr>
            </w:pPr>
            <w:proofErr w:type="spellStart"/>
            <w:r w:rsidRPr="00EF1DF3">
              <w:rPr>
                <w:sz w:val="21"/>
                <w:szCs w:val="28"/>
              </w:rPr>
              <w:t>Te</w:t>
            </w:r>
            <w:proofErr w:type="spellEnd"/>
          </w:p>
        </w:tc>
        <w:tc>
          <w:tcPr>
            <w:tcW w:w="2780" w:type="pct"/>
            <w:hideMark/>
          </w:tcPr>
          <w:p w14:paraId="58FD3513" w14:textId="77777777" w:rsidR="00236035" w:rsidRPr="00EF1DF3" w:rsidRDefault="00236035" w:rsidP="00236035">
            <w:pPr>
              <w:pStyle w:val="NormalinTable"/>
              <w:rPr>
                <w:sz w:val="21"/>
                <w:szCs w:val="28"/>
              </w:rPr>
            </w:pPr>
            <w:r w:rsidRPr="00EF1DF3">
              <w:rPr>
                <w:sz w:val="21"/>
                <w:szCs w:val="28"/>
              </w:rPr>
              <w:t>Tellurium</w:t>
            </w:r>
          </w:p>
        </w:tc>
        <w:tc>
          <w:tcPr>
            <w:tcW w:w="1389" w:type="pct"/>
            <w:hideMark/>
          </w:tcPr>
          <w:p w14:paraId="04EA0355"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752C8071" w14:textId="77777777" w:rsidTr="00EF1DF3">
        <w:tc>
          <w:tcPr>
            <w:tcW w:w="831" w:type="pct"/>
            <w:hideMark/>
          </w:tcPr>
          <w:p w14:paraId="14703C50" w14:textId="77777777" w:rsidR="00236035" w:rsidRPr="00EF1DF3" w:rsidRDefault="00236035" w:rsidP="00236035">
            <w:pPr>
              <w:pStyle w:val="NormalinTable"/>
              <w:rPr>
                <w:sz w:val="21"/>
                <w:szCs w:val="28"/>
              </w:rPr>
            </w:pPr>
            <w:r w:rsidRPr="00EF1DF3">
              <w:rPr>
                <w:sz w:val="21"/>
                <w:szCs w:val="28"/>
              </w:rPr>
              <w:t>Zn</w:t>
            </w:r>
          </w:p>
        </w:tc>
        <w:tc>
          <w:tcPr>
            <w:tcW w:w="2780" w:type="pct"/>
            <w:hideMark/>
          </w:tcPr>
          <w:p w14:paraId="30C6987D" w14:textId="77777777" w:rsidR="00236035" w:rsidRPr="00EF1DF3" w:rsidRDefault="00236035" w:rsidP="00236035">
            <w:pPr>
              <w:pStyle w:val="NormalinTable"/>
              <w:rPr>
                <w:sz w:val="21"/>
                <w:szCs w:val="28"/>
              </w:rPr>
            </w:pPr>
            <w:r w:rsidRPr="00EF1DF3">
              <w:rPr>
                <w:sz w:val="21"/>
                <w:szCs w:val="28"/>
              </w:rPr>
              <w:t>Zinc</w:t>
            </w:r>
          </w:p>
        </w:tc>
        <w:tc>
          <w:tcPr>
            <w:tcW w:w="1389" w:type="pct"/>
            <w:hideMark/>
          </w:tcPr>
          <w:p w14:paraId="4DD4BB91" w14:textId="77777777" w:rsidR="00236035" w:rsidRPr="00EF1DF3" w:rsidRDefault="00236035" w:rsidP="00236035">
            <w:pPr>
              <w:pStyle w:val="NormalinTable"/>
              <w:jc w:val="right"/>
              <w:rPr>
                <w:sz w:val="21"/>
                <w:szCs w:val="28"/>
              </w:rPr>
            </w:pPr>
            <w:r w:rsidRPr="00EF1DF3">
              <w:rPr>
                <w:sz w:val="21"/>
                <w:szCs w:val="28"/>
              </w:rPr>
              <w:t>1</w:t>
            </w:r>
          </w:p>
        </w:tc>
      </w:tr>
      <w:tr w:rsidR="00236035" w:rsidRPr="00EF1DF3" w14:paraId="2399B53A" w14:textId="77777777" w:rsidTr="00EF1DF3">
        <w:tc>
          <w:tcPr>
            <w:tcW w:w="831" w:type="pct"/>
            <w:hideMark/>
          </w:tcPr>
          <w:p w14:paraId="474855ED" w14:textId="77777777" w:rsidR="00236035" w:rsidRPr="00EF1DF3" w:rsidRDefault="00236035" w:rsidP="00236035">
            <w:pPr>
              <w:pStyle w:val="NormalinTable"/>
              <w:rPr>
                <w:sz w:val="21"/>
                <w:szCs w:val="28"/>
              </w:rPr>
            </w:pPr>
            <w:proofErr w:type="spellStart"/>
            <w:r w:rsidRPr="00EF1DF3">
              <w:rPr>
                <w:sz w:val="21"/>
                <w:szCs w:val="28"/>
              </w:rPr>
              <w:t>Zr</w:t>
            </w:r>
            <w:proofErr w:type="spellEnd"/>
          </w:p>
        </w:tc>
        <w:tc>
          <w:tcPr>
            <w:tcW w:w="2780" w:type="pct"/>
            <w:hideMark/>
          </w:tcPr>
          <w:p w14:paraId="3D154E13" w14:textId="77777777" w:rsidR="00236035" w:rsidRPr="00EF1DF3" w:rsidRDefault="00236035" w:rsidP="00236035">
            <w:pPr>
              <w:pStyle w:val="NormalinTable"/>
              <w:rPr>
                <w:sz w:val="21"/>
                <w:szCs w:val="28"/>
              </w:rPr>
            </w:pPr>
            <w:r w:rsidRPr="00EF1DF3">
              <w:rPr>
                <w:sz w:val="21"/>
                <w:szCs w:val="28"/>
              </w:rPr>
              <w:t>Zirconium</w:t>
            </w:r>
          </w:p>
        </w:tc>
        <w:tc>
          <w:tcPr>
            <w:tcW w:w="1389" w:type="pct"/>
            <w:hideMark/>
          </w:tcPr>
          <w:p w14:paraId="7560F4BC" w14:textId="77777777" w:rsidR="00236035" w:rsidRPr="00EF1DF3" w:rsidRDefault="00236035" w:rsidP="00236035">
            <w:pPr>
              <w:pStyle w:val="NormalinTable"/>
              <w:jc w:val="right"/>
              <w:rPr>
                <w:sz w:val="21"/>
                <w:szCs w:val="28"/>
              </w:rPr>
            </w:pPr>
            <w:r w:rsidRPr="00EF1DF3">
              <w:rPr>
                <w:sz w:val="21"/>
                <w:szCs w:val="28"/>
              </w:rPr>
              <w:t>0.3</w:t>
            </w:r>
          </w:p>
        </w:tc>
      </w:tr>
      <w:tr w:rsidR="00236035" w:rsidRPr="00EF1DF3" w14:paraId="4A56AE2F" w14:textId="77777777" w:rsidTr="00EF1DF3">
        <w:tc>
          <w:tcPr>
            <w:tcW w:w="3611" w:type="pct"/>
            <w:gridSpan w:val="2"/>
            <w:hideMark/>
          </w:tcPr>
          <w:p w14:paraId="5ACA3F52" w14:textId="77777777" w:rsidR="00236035" w:rsidRPr="00EF1DF3" w:rsidRDefault="00236035" w:rsidP="00236035">
            <w:pPr>
              <w:pStyle w:val="NormalinTable"/>
              <w:rPr>
                <w:sz w:val="21"/>
                <w:szCs w:val="28"/>
              </w:rPr>
            </w:pPr>
            <w:r w:rsidRPr="00EF1DF3">
              <w:rPr>
                <w:sz w:val="21"/>
                <w:szCs w:val="28"/>
              </w:rPr>
              <w:t>Other elements are, for example, Al, Be, Co, Fe, Mn, Ni, Si.</w:t>
            </w:r>
          </w:p>
        </w:tc>
        <w:tc>
          <w:tcPr>
            <w:tcW w:w="1389" w:type="pct"/>
            <w:hideMark/>
          </w:tcPr>
          <w:p w14:paraId="1BEC110C" w14:textId="77777777" w:rsidR="00236035" w:rsidRPr="00EF1DF3" w:rsidRDefault="00236035" w:rsidP="00236035">
            <w:pPr>
              <w:pStyle w:val="NormalinTable"/>
              <w:jc w:val="right"/>
              <w:rPr>
                <w:sz w:val="21"/>
                <w:szCs w:val="28"/>
              </w:rPr>
            </w:pPr>
            <w:r w:rsidRPr="00EF1DF3">
              <w:rPr>
                <w:sz w:val="21"/>
                <w:szCs w:val="28"/>
              </w:rPr>
              <w:t>0.3</w:t>
            </w:r>
          </w:p>
        </w:tc>
      </w:tr>
    </w:tbl>
    <w:p w14:paraId="2F04E46F" w14:textId="77777777" w:rsidR="00236035" w:rsidRDefault="00236035"/>
    <w:p w14:paraId="7A651D15" w14:textId="77777777" w:rsidR="00236035" w:rsidRDefault="00236035" w:rsidP="00236035">
      <w:pPr>
        <w:pStyle w:val="ListBullet"/>
        <w:numPr>
          <w:ilvl w:val="0"/>
          <w:numId w:val="153"/>
        </w:numPr>
        <w:spacing w:line="240" w:lineRule="auto"/>
        <w:contextualSpacing w:val="0"/>
      </w:pPr>
      <w:r>
        <w:t>Copper alloys:</w:t>
      </w:r>
    </w:p>
    <w:p w14:paraId="1419B0EF" w14:textId="77777777" w:rsidR="00236035" w:rsidRDefault="00236035" w:rsidP="00236035">
      <w:pPr>
        <w:spacing w:line="240" w:lineRule="auto"/>
      </w:pPr>
      <w:r>
        <w:t>Metallic substances other than unrefined copper in which copper predominates by weight over each of the other elements, provided that:</w:t>
      </w:r>
    </w:p>
    <w:p w14:paraId="38A56F81" w14:textId="77777777" w:rsidR="00236035" w:rsidRDefault="00236035" w:rsidP="00236035">
      <w:pPr>
        <w:spacing w:line="240" w:lineRule="auto"/>
      </w:pPr>
      <w:r>
        <w:t>(1) the content by weight of at least one of the other elements is greater than the limit specified in the foregoing table; or</w:t>
      </w:r>
    </w:p>
    <w:p w14:paraId="3DB387EC" w14:textId="77777777" w:rsidR="00236035" w:rsidRDefault="00236035" w:rsidP="00236035">
      <w:pPr>
        <w:spacing w:line="240" w:lineRule="auto"/>
      </w:pPr>
      <w:r>
        <w:t>(2) the total content by weight of such other elements exceeds 2.5%</w:t>
      </w:r>
    </w:p>
    <w:p w14:paraId="2B723D54" w14:textId="77777777" w:rsidR="00236035" w:rsidRDefault="00236035" w:rsidP="00236035">
      <w:pPr>
        <w:pStyle w:val="ListBullet"/>
        <w:numPr>
          <w:ilvl w:val="0"/>
          <w:numId w:val="154"/>
        </w:numPr>
        <w:spacing w:line="240" w:lineRule="auto"/>
        <w:contextualSpacing w:val="0"/>
      </w:pPr>
      <w:r>
        <w:t>Master alloys:</w:t>
      </w:r>
    </w:p>
    <w:p w14:paraId="58A79C20" w14:textId="77777777" w:rsidR="00236035" w:rsidRDefault="00236035" w:rsidP="00236035">
      <w:pPr>
        <w:spacing w:line="240" w:lineRule="auto"/>
      </w:pPr>
      <w:r>
        <w:t>Alloys containing with other elements more than 10% by weight of copper, not usefully malleable and commonly used as an additive in the manufacture of other alloys or as de-oxidants, de-</w:t>
      </w:r>
      <w:proofErr w:type="spellStart"/>
      <w:r>
        <w:t>sulphurising</w:t>
      </w:r>
      <w:proofErr w:type="spellEnd"/>
      <w:r>
        <w:t xml:space="preserve"> agents or for similar uses in the metallurgy of non-ferrous metals. However, copper phosphide (phosphor copper) containing more than 15% by weight of phosphorus falls in heading 2848.</w:t>
      </w:r>
    </w:p>
    <w:p w14:paraId="311D64F2" w14:textId="77777777" w:rsidR="00236035" w:rsidRDefault="00236035" w:rsidP="00236035">
      <w:pPr>
        <w:pStyle w:val="ListBullet"/>
        <w:numPr>
          <w:ilvl w:val="0"/>
          <w:numId w:val="155"/>
        </w:numPr>
        <w:spacing w:line="240" w:lineRule="auto"/>
        <w:contextualSpacing w:val="0"/>
      </w:pPr>
      <w:r>
        <w:t>Bars and rods:</w:t>
      </w:r>
    </w:p>
    <w:p w14:paraId="4FB67247" w14:textId="77777777" w:rsidR="00236035" w:rsidRDefault="00236035" w:rsidP="00236035">
      <w:pPr>
        <w:spacing w:line="240" w:lineRule="auto"/>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w:t>
      </w:r>
      <w:r>
        <w:lastRenderedPageBreak/>
        <w:t>(including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54AE9E2" w14:textId="77777777" w:rsidR="00236035" w:rsidRDefault="00236035" w:rsidP="00236035">
      <w:pPr>
        <w:spacing w:line="240" w:lineRule="auto"/>
      </w:pPr>
      <w:r>
        <w:t>Wire-bars and billets with their ends tapered or otherwise worked simply to facilitate their entry into machines for converting them into, for example, drawing stock (wire-rod) or tubes, are however to be taken to be unwrought copper of heading 7403.</w:t>
      </w:r>
    </w:p>
    <w:p w14:paraId="45FB3FA5" w14:textId="77777777" w:rsidR="00236035" w:rsidRDefault="00236035" w:rsidP="00236035">
      <w:pPr>
        <w:pStyle w:val="ListBullet"/>
        <w:numPr>
          <w:ilvl w:val="0"/>
          <w:numId w:val="156"/>
        </w:numPr>
        <w:spacing w:line="240" w:lineRule="auto"/>
        <w:contextualSpacing w:val="0"/>
      </w:pPr>
      <w:r>
        <w:t>Profiles:</w:t>
      </w:r>
    </w:p>
    <w:p w14:paraId="52C56DCA" w14:textId="77777777" w:rsidR="00236035" w:rsidRDefault="00236035" w:rsidP="00236035">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7B11B7D8" w14:textId="77777777" w:rsidR="00236035" w:rsidRDefault="00236035" w:rsidP="00236035">
      <w:pPr>
        <w:pStyle w:val="ListBullet"/>
        <w:numPr>
          <w:ilvl w:val="0"/>
          <w:numId w:val="151"/>
        </w:numPr>
        <w:spacing w:line="240" w:lineRule="auto"/>
        <w:contextualSpacing w:val="0"/>
      </w:pPr>
      <w:r>
        <w:t>Wire:</w:t>
      </w:r>
    </w:p>
    <w:p w14:paraId="71C6D506" w14:textId="77777777" w:rsidR="00236035" w:rsidRDefault="00236035" w:rsidP="00236035">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3E7353F" w14:textId="77777777" w:rsidR="00236035" w:rsidRDefault="00236035" w:rsidP="00236035">
      <w:pPr>
        <w:pStyle w:val="ListBullet"/>
        <w:numPr>
          <w:ilvl w:val="0"/>
          <w:numId w:val="151"/>
        </w:numPr>
        <w:spacing w:line="240" w:lineRule="auto"/>
        <w:contextualSpacing w:val="0"/>
      </w:pPr>
      <w:r>
        <w:t>Plates, sheets, strip and foil:</w:t>
      </w:r>
    </w:p>
    <w:p w14:paraId="07F2ABA6" w14:textId="77777777" w:rsidR="00236035" w:rsidRDefault="00236035" w:rsidP="00236035">
      <w:pPr>
        <w:spacing w:line="240" w:lineRule="auto"/>
      </w:pPr>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03AFB93A" w14:textId="77777777" w:rsidR="00236035" w:rsidRDefault="00236035" w:rsidP="00236035">
      <w:pPr>
        <w:spacing w:line="240" w:lineRule="auto"/>
      </w:pPr>
      <w:r>
        <w:t>- of rectangular (including square) shape with a thickness not exceeding one-tenth of the width,</w:t>
      </w:r>
    </w:p>
    <w:p w14:paraId="0761A936" w14:textId="77777777" w:rsidR="00236035" w:rsidRDefault="00236035" w:rsidP="00236035">
      <w:pPr>
        <w:spacing w:line="240" w:lineRule="auto"/>
      </w:pPr>
      <w:r>
        <w:t>- of a shape other than rectangular or square, of any size, provided that they do not assume the character of articles or products of other headings.</w:t>
      </w:r>
    </w:p>
    <w:p w14:paraId="48A52680" w14:textId="77777777" w:rsidR="00236035" w:rsidRDefault="00236035" w:rsidP="00236035">
      <w:pPr>
        <w:spacing w:line="240" w:lineRule="auto"/>
      </w:pPr>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2C2EAF3" w14:textId="77777777" w:rsidR="00236035" w:rsidRDefault="00236035" w:rsidP="00236035">
      <w:pPr>
        <w:pStyle w:val="ListBullet"/>
        <w:numPr>
          <w:ilvl w:val="0"/>
          <w:numId w:val="151"/>
        </w:numPr>
        <w:spacing w:line="240" w:lineRule="auto"/>
        <w:contextualSpacing w:val="0"/>
      </w:pPr>
      <w:r>
        <w:t>Tubes and pipes:</w:t>
      </w:r>
    </w:p>
    <w:p w14:paraId="0ABC15B7" w14:textId="77777777" w:rsidR="00236035" w:rsidRDefault="00236035" w:rsidP="00236035">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C99D21D" w14:textId="77777777" w:rsidR="00236035" w:rsidRDefault="00236035" w:rsidP="00236035">
      <w:pPr>
        <w:spacing w:line="240" w:lineRule="auto"/>
      </w:pPr>
    </w:p>
    <w:p w14:paraId="641EA20D" w14:textId="534B1942" w:rsidR="00236035" w:rsidRDefault="00236035" w:rsidP="00236035">
      <w:pPr>
        <w:pStyle w:val="Heading3"/>
        <w:spacing w:before="240" w:after="120" w:line="240" w:lineRule="auto"/>
      </w:pPr>
      <w:r>
        <w:t>Subheading Note</w:t>
      </w:r>
    </w:p>
    <w:p w14:paraId="063BC3A3" w14:textId="77777777" w:rsidR="00236035" w:rsidRDefault="00236035" w:rsidP="00236035">
      <w:pPr>
        <w:spacing w:line="240" w:lineRule="auto"/>
      </w:pPr>
      <w:r>
        <w:t>1. In this chapter, the following expressions have the meanings hereby assigned to them:</w:t>
      </w:r>
    </w:p>
    <w:p w14:paraId="3DCD01CE" w14:textId="77777777" w:rsidR="00236035" w:rsidRDefault="00236035" w:rsidP="00236035">
      <w:pPr>
        <w:pStyle w:val="ListBullet"/>
        <w:numPr>
          <w:ilvl w:val="0"/>
          <w:numId w:val="157"/>
        </w:numPr>
        <w:spacing w:line="240" w:lineRule="auto"/>
        <w:contextualSpacing w:val="0"/>
      </w:pPr>
      <w:r>
        <w:t>Copper-zinc base alloys (brasses):</w:t>
      </w:r>
    </w:p>
    <w:p w14:paraId="7CCB2183" w14:textId="77777777" w:rsidR="00236035" w:rsidRDefault="00236035" w:rsidP="00236035">
      <w:pPr>
        <w:spacing w:line="240" w:lineRule="auto"/>
      </w:pPr>
      <w:r>
        <w:lastRenderedPageBreak/>
        <w:t>Alloys of copper and zinc, with or without other elements. When other elements are present:</w:t>
      </w:r>
    </w:p>
    <w:p w14:paraId="17D18B17" w14:textId="77777777" w:rsidR="00236035" w:rsidRDefault="00236035" w:rsidP="00236035">
      <w:pPr>
        <w:spacing w:line="240" w:lineRule="auto"/>
      </w:pPr>
      <w:r>
        <w:t>- zinc predominates by weight over each of such other elements,</w:t>
      </w:r>
    </w:p>
    <w:p w14:paraId="5CD1A56E" w14:textId="77777777" w:rsidR="00236035" w:rsidRDefault="00236035" w:rsidP="00236035">
      <w:pPr>
        <w:spacing w:line="240" w:lineRule="auto"/>
      </w:pPr>
      <w:r>
        <w:t>- any nickel content by weight is less than 5% (see copper-nickel-zinc alloys (nickel silvers)), and</w:t>
      </w:r>
    </w:p>
    <w:p w14:paraId="71C45003" w14:textId="77777777" w:rsidR="00236035" w:rsidRDefault="00236035" w:rsidP="00236035">
      <w:pPr>
        <w:spacing w:line="240" w:lineRule="auto"/>
      </w:pPr>
      <w:r>
        <w:t>- any tin content by weight is less than 3% (see copper-tin alloys (bronzes)).</w:t>
      </w:r>
    </w:p>
    <w:p w14:paraId="133E883E" w14:textId="77777777" w:rsidR="00236035" w:rsidRDefault="00236035" w:rsidP="00236035">
      <w:pPr>
        <w:pStyle w:val="ListBullet"/>
        <w:numPr>
          <w:ilvl w:val="0"/>
          <w:numId w:val="158"/>
        </w:numPr>
        <w:spacing w:line="240" w:lineRule="auto"/>
        <w:contextualSpacing w:val="0"/>
      </w:pPr>
      <w:r>
        <w:t>Copper-tin base alloys (bronzes):</w:t>
      </w:r>
    </w:p>
    <w:p w14:paraId="60FD5D75" w14:textId="77777777" w:rsidR="00236035" w:rsidRDefault="00236035" w:rsidP="00236035">
      <w:pPr>
        <w:spacing w:line="240" w:lineRule="auto"/>
      </w:pPr>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14:paraId="72F72E6A" w14:textId="77777777" w:rsidR="00236035" w:rsidRDefault="00236035" w:rsidP="00236035">
      <w:pPr>
        <w:pStyle w:val="ListBullet"/>
        <w:numPr>
          <w:ilvl w:val="0"/>
          <w:numId w:val="158"/>
        </w:numPr>
        <w:spacing w:line="240" w:lineRule="auto"/>
        <w:contextualSpacing w:val="0"/>
      </w:pPr>
      <w:r>
        <w:t>Copper-nickel-zinc base alloys (nickel silvers):</w:t>
      </w:r>
    </w:p>
    <w:p w14:paraId="0FBC7B57" w14:textId="77777777" w:rsidR="00236035" w:rsidRDefault="00236035" w:rsidP="00236035">
      <w:pPr>
        <w:spacing w:line="240" w:lineRule="auto"/>
      </w:pPr>
      <w:r>
        <w:t>Alloys of copper, nickel and zinc, with or without other elements. The nickel content is 5% or more by weight (see copper-zinc alloys (brasses)).</w:t>
      </w:r>
    </w:p>
    <w:p w14:paraId="4CD4828F" w14:textId="77777777" w:rsidR="00236035" w:rsidRDefault="00236035" w:rsidP="00236035">
      <w:pPr>
        <w:pStyle w:val="ListBullet"/>
        <w:numPr>
          <w:ilvl w:val="0"/>
          <w:numId w:val="158"/>
        </w:numPr>
        <w:spacing w:line="240" w:lineRule="auto"/>
        <w:contextualSpacing w:val="0"/>
      </w:pPr>
      <w:r>
        <w:t>Copper-nickel base alloys:</w:t>
      </w:r>
    </w:p>
    <w:p w14:paraId="466E971D" w14:textId="26E60756" w:rsidR="00E4554C" w:rsidRPr="00236035" w:rsidRDefault="00236035" w:rsidP="00236035">
      <w:pPr>
        <w:spacing w:line="240" w:lineRule="auto"/>
      </w:pPr>
      <w:r>
        <w:t xml:space="preserve">Alloys of copper and nickel, with or without other elements, </w:t>
      </w:r>
      <w:proofErr w:type="gramStart"/>
      <w:r>
        <w:t xml:space="preserve">but in any case </w:t>
      </w:r>
      <w:proofErr w:type="gramEnd"/>
      <w:r>
        <w:t>containing by weight not more than 1% of zinc. When other elements are present, nickel predominates by weight over each of such other elements.</w:t>
      </w:r>
    </w:p>
    <w:sectPr w:rsidR="00E4554C" w:rsidRPr="002360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CB13" w14:textId="77777777" w:rsidR="00A13964" w:rsidRDefault="00A13964" w:rsidP="00A0507B">
      <w:pPr>
        <w:spacing w:after="0" w:line="240" w:lineRule="auto"/>
      </w:pPr>
      <w:r>
        <w:separator/>
      </w:r>
    </w:p>
  </w:endnote>
  <w:endnote w:type="continuationSeparator" w:id="0">
    <w:p w14:paraId="45D194CB" w14:textId="77777777" w:rsidR="00A13964" w:rsidRDefault="00A1396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2EC08" w14:textId="77777777" w:rsidR="00A13964" w:rsidRDefault="00A13964">
      <w:pPr>
        <w:spacing w:after="0" w:line="240" w:lineRule="auto"/>
      </w:pPr>
      <w:r>
        <w:separator/>
      </w:r>
    </w:p>
  </w:footnote>
  <w:footnote w:type="continuationSeparator" w:id="0">
    <w:p w14:paraId="77F6BBC5" w14:textId="77777777" w:rsidR="00A13964" w:rsidRDefault="00A13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035"/>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4841"/>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7753A"/>
    <w:rsid w:val="0098042C"/>
    <w:rsid w:val="00982953"/>
    <w:rsid w:val="0098652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3964"/>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071"/>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1DF3"/>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7753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2360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681960D-FAEB-4ECF-AF64-43CA9488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2019-07-08T10:19:00Z</dcterms:created>
  <dcterms:modified xsi:type="dcterms:W3CDTF">2019-07-14T11:02:00Z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