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37DC5" w14:textId="77777777" w:rsidR="00A5534D" w:rsidRDefault="00A5534D" w:rsidP="00A5534D">
      <w:pPr>
        <w:jc w:val="center"/>
      </w:pPr>
      <w:bookmarkStart w:id="0" w:name="_GoBack"/>
      <w:bookmarkEnd w:id="0"/>
      <w:r w:rsidRPr="004D1AA9">
        <w:rPr>
          <w:b/>
          <w:bCs/>
          <w:color w:val="000000"/>
        </w:rPr>
        <w:t xml:space="preserve">SECTION </w:t>
      </w:r>
      <w:r>
        <w:rPr>
          <w:b/>
          <w:bCs/>
          <w:color w:val="000000"/>
        </w:rPr>
        <w:t>XV</w:t>
      </w:r>
    </w:p>
    <w:p w14:paraId="45FCE208" w14:textId="77777777" w:rsidR="00A5534D" w:rsidRDefault="00A5534D" w:rsidP="00A5534D">
      <w:pPr>
        <w:pStyle w:val="Heading2"/>
      </w:pPr>
      <w:r>
        <w:t>Chapter 80</w:t>
      </w:r>
      <w:r>
        <w:br/>
        <w:t>Tin and Articles Thereof</w:t>
      </w:r>
    </w:p>
    <w:p w14:paraId="48EC2523" w14:textId="24B62140" w:rsidR="00A5534D" w:rsidRPr="00AD1E8F" w:rsidRDefault="00A5534D" w:rsidP="00A5534D">
      <w:pPr>
        <w:pStyle w:val="Heading3"/>
        <w:spacing w:before="240" w:after="120"/>
      </w:pPr>
      <w:r>
        <w:t>Chapter Notes</w:t>
      </w:r>
    </w:p>
    <w:p w14:paraId="26598AFB" w14:textId="77777777" w:rsidR="00A5534D" w:rsidRDefault="00A5534D" w:rsidP="00A5534D">
      <w:r>
        <w:t>1. In this chapter, the following expressions have the meanings hereby assigned to them:</w:t>
      </w:r>
    </w:p>
    <w:p w14:paraId="54357BCD" w14:textId="77777777" w:rsidR="00A5534D" w:rsidRDefault="00A5534D" w:rsidP="00A5534D">
      <w:pPr>
        <w:pStyle w:val="ListBullet"/>
        <w:numPr>
          <w:ilvl w:val="0"/>
          <w:numId w:val="166"/>
        </w:numPr>
      </w:pPr>
      <w:r>
        <w:t>Bars and rods:</w:t>
      </w:r>
    </w:p>
    <w:p w14:paraId="22DB3F4A" w14:textId="77777777" w:rsidR="00A5534D" w:rsidRDefault="00A5534D" w:rsidP="00A5534D">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5017CF3A" w14:textId="77777777" w:rsidR="00A5534D" w:rsidRDefault="00A5534D" w:rsidP="00A5534D">
      <w:pPr>
        <w:pStyle w:val="ListBullet"/>
        <w:numPr>
          <w:ilvl w:val="0"/>
          <w:numId w:val="166"/>
        </w:numPr>
      </w:pPr>
      <w:r>
        <w:t>Profiles:</w:t>
      </w:r>
    </w:p>
    <w:p w14:paraId="3C75B9A4" w14:textId="77777777" w:rsidR="00A5534D" w:rsidRDefault="00A5534D" w:rsidP="00A5534D">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0B5F8CB1" w14:textId="77777777" w:rsidR="00A5534D" w:rsidRDefault="00A5534D" w:rsidP="00A5534D">
      <w:pPr>
        <w:pStyle w:val="ListBullet"/>
        <w:numPr>
          <w:ilvl w:val="0"/>
          <w:numId w:val="166"/>
        </w:numPr>
      </w:pPr>
      <w:r>
        <w:t>Wire</w:t>
      </w:r>
    </w:p>
    <w:p w14:paraId="6BA51A0C" w14:textId="77777777" w:rsidR="00A5534D" w:rsidRDefault="00A5534D" w:rsidP="00A5534D">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37E51D98" w14:textId="77777777" w:rsidR="00A5534D" w:rsidRDefault="00A5534D" w:rsidP="00A5534D">
      <w:pPr>
        <w:pStyle w:val="ListBullet"/>
        <w:numPr>
          <w:ilvl w:val="0"/>
          <w:numId w:val="166"/>
        </w:numPr>
      </w:pPr>
      <w:r>
        <w:t>Plates, sheets, strip and foil:</w:t>
      </w:r>
    </w:p>
    <w:p w14:paraId="6BAD24F6" w14:textId="77777777" w:rsidR="00A5534D" w:rsidRDefault="00A5534D" w:rsidP="00A5534D">
      <w:r>
        <w:t>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6C6FDBEA" w14:textId="77777777" w:rsidR="00A5534D" w:rsidRDefault="00A5534D" w:rsidP="00A5534D">
      <w:r>
        <w:t>- of rectangular (including square) shape with a thickness not exceeding one-tenth of the width,</w:t>
      </w:r>
    </w:p>
    <w:p w14:paraId="1A54853D" w14:textId="77777777" w:rsidR="00A5534D" w:rsidRDefault="00A5534D" w:rsidP="00A5534D">
      <w:r>
        <w:t>- of a shape other than rectangular or square, of any size, provided that they do not assume the character of articles or products of other headings.</w:t>
      </w:r>
    </w:p>
    <w:p w14:paraId="378837EC" w14:textId="77777777" w:rsidR="00A5534D" w:rsidRDefault="00A5534D" w:rsidP="00A5534D">
      <w:pPr>
        <w:pStyle w:val="ListBullet"/>
        <w:numPr>
          <w:ilvl w:val="0"/>
          <w:numId w:val="166"/>
        </w:numPr>
      </w:pPr>
      <w:r>
        <w:t>Tubes and pipes:</w:t>
      </w:r>
    </w:p>
    <w:p w14:paraId="56762D8C" w14:textId="612A1FFA" w:rsidR="00A5534D" w:rsidRDefault="00A5534D" w:rsidP="00A5534D">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0EBE483A" w14:textId="79AF9BA4" w:rsidR="00A5534D" w:rsidRDefault="00A5534D" w:rsidP="00A5534D">
      <w:pPr>
        <w:pStyle w:val="Heading3"/>
        <w:spacing w:before="240" w:after="120"/>
      </w:pPr>
      <w:r>
        <w:t>Subheading Note</w:t>
      </w:r>
    </w:p>
    <w:p w14:paraId="34E58FEB" w14:textId="77777777" w:rsidR="00A5534D" w:rsidRDefault="00A5534D" w:rsidP="00A5534D">
      <w:r>
        <w:t>1. In this chapter, the following expressions have the meanings hereby assigned to them:</w:t>
      </w:r>
    </w:p>
    <w:p w14:paraId="65CF02B6" w14:textId="77777777" w:rsidR="00A5534D" w:rsidRDefault="00A5534D" w:rsidP="00A5534D">
      <w:pPr>
        <w:pStyle w:val="ListBullet"/>
        <w:numPr>
          <w:ilvl w:val="0"/>
          <w:numId w:val="167"/>
        </w:numPr>
      </w:pPr>
      <w:r>
        <w:t>Tin, not alloyed:</w:t>
      </w:r>
    </w:p>
    <w:p w14:paraId="51A7DFE0" w14:textId="77777777" w:rsidR="00A5534D" w:rsidRDefault="00A5534D" w:rsidP="00A5534D">
      <w:r>
        <w:t>Metal containing by weight at least 99% of tin, provided that the content by weight of any bismuth or copper is less than the limit specified in the following table:</w:t>
      </w:r>
    </w:p>
    <w:p w14:paraId="30447376" w14:textId="77777777" w:rsidR="00A5534D" w:rsidRDefault="00A5534D" w:rsidP="00A5534D"/>
    <w:p w14:paraId="4D0E3C99" w14:textId="77777777" w:rsidR="00A5534D" w:rsidRDefault="00A5534D" w:rsidP="00A5534D">
      <w:r>
        <w:t>Other elements:</w:t>
      </w:r>
    </w:p>
    <w:tbl>
      <w:tblPr>
        <w:tblStyle w:val="TableGrid"/>
        <w:tblW w:w="0" w:type="auto"/>
        <w:tblLook w:val="04A0" w:firstRow="1" w:lastRow="0" w:firstColumn="1" w:lastColumn="0" w:noHBand="0" w:noVBand="1"/>
      </w:tblPr>
      <w:tblGrid>
        <w:gridCol w:w="3005"/>
        <w:gridCol w:w="3005"/>
        <w:gridCol w:w="3006"/>
      </w:tblGrid>
      <w:tr w:rsidR="00A5534D" w:rsidRPr="00A5534D" w14:paraId="6AE54E6D" w14:textId="77777777" w:rsidTr="00884293">
        <w:tc>
          <w:tcPr>
            <w:tcW w:w="6010" w:type="dxa"/>
            <w:gridSpan w:val="2"/>
          </w:tcPr>
          <w:p w14:paraId="3637A568" w14:textId="77777777" w:rsidR="00A5534D" w:rsidRPr="00A5534D" w:rsidRDefault="00A5534D" w:rsidP="00A5534D">
            <w:pPr>
              <w:pStyle w:val="NormalinTable"/>
              <w:rPr>
                <w:sz w:val="21"/>
                <w:szCs w:val="28"/>
              </w:rPr>
            </w:pPr>
            <w:r w:rsidRPr="00A5534D">
              <w:rPr>
                <w:sz w:val="21"/>
                <w:szCs w:val="28"/>
              </w:rPr>
              <w:t>Element</w:t>
            </w:r>
          </w:p>
        </w:tc>
        <w:tc>
          <w:tcPr>
            <w:tcW w:w="3006" w:type="dxa"/>
          </w:tcPr>
          <w:p w14:paraId="0FD148DF" w14:textId="77777777" w:rsidR="00A5534D" w:rsidRPr="00A5534D" w:rsidRDefault="00A5534D" w:rsidP="00A5534D">
            <w:pPr>
              <w:pStyle w:val="NormalinTable"/>
              <w:rPr>
                <w:sz w:val="21"/>
                <w:szCs w:val="28"/>
              </w:rPr>
            </w:pPr>
            <w:r w:rsidRPr="00A5534D">
              <w:rPr>
                <w:sz w:val="21"/>
                <w:szCs w:val="28"/>
              </w:rPr>
              <w:t>Limiting content % by weight</w:t>
            </w:r>
          </w:p>
        </w:tc>
      </w:tr>
      <w:tr w:rsidR="00A5534D" w:rsidRPr="00A5534D" w14:paraId="299B32BC" w14:textId="77777777" w:rsidTr="00884293">
        <w:tc>
          <w:tcPr>
            <w:tcW w:w="3005" w:type="dxa"/>
            <w:tcBorders>
              <w:right w:val="nil"/>
            </w:tcBorders>
          </w:tcPr>
          <w:p w14:paraId="79FEAD5F" w14:textId="77777777" w:rsidR="00A5534D" w:rsidRPr="00A5534D" w:rsidRDefault="00A5534D" w:rsidP="00A5534D">
            <w:pPr>
              <w:pStyle w:val="NormalinTable"/>
              <w:rPr>
                <w:sz w:val="21"/>
                <w:szCs w:val="28"/>
              </w:rPr>
            </w:pPr>
            <w:r w:rsidRPr="00A5534D">
              <w:rPr>
                <w:sz w:val="21"/>
                <w:szCs w:val="28"/>
              </w:rPr>
              <w:t>Bi</w:t>
            </w:r>
          </w:p>
        </w:tc>
        <w:tc>
          <w:tcPr>
            <w:tcW w:w="3005" w:type="dxa"/>
            <w:tcBorders>
              <w:left w:val="nil"/>
            </w:tcBorders>
          </w:tcPr>
          <w:p w14:paraId="3A4E066E" w14:textId="77777777" w:rsidR="00A5534D" w:rsidRPr="00A5534D" w:rsidRDefault="00A5534D" w:rsidP="00A5534D">
            <w:pPr>
              <w:pStyle w:val="NormalinTable"/>
              <w:rPr>
                <w:sz w:val="21"/>
                <w:szCs w:val="28"/>
              </w:rPr>
            </w:pPr>
            <w:r w:rsidRPr="00A5534D">
              <w:rPr>
                <w:sz w:val="21"/>
                <w:szCs w:val="28"/>
              </w:rPr>
              <w:t>Bismuth</w:t>
            </w:r>
          </w:p>
        </w:tc>
        <w:tc>
          <w:tcPr>
            <w:tcW w:w="3006" w:type="dxa"/>
          </w:tcPr>
          <w:p w14:paraId="5E59799C" w14:textId="77777777" w:rsidR="00A5534D" w:rsidRPr="00A5534D" w:rsidRDefault="00A5534D" w:rsidP="00A5534D">
            <w:pPr>
              <w:pStyle w:val="NormalinTable"/>
              <w:rPr>
                <w:sz w:val="21"/>
                <w:szCs w:val="28"/>
              </w:rPr>
            </w:pPr>
            <w:r w:rsidRPr="00A5534D">
              <w:rPr>
                <w:sz w:val="21"/>
                <w:szCs w:val="28"/>
              </w:rPr>
              <w:t>0.1</w:t>
            </w:r>
          </w:p>
        </w:tc>
      </w:tr>
      <w:tr w:rsidR="00A5534D" w:rsidRPr="00A5534D" w14:paraId="1F07FA84" w14:textId="77777777" w:rsidTr="00884293">
        <w:tc>
          <w:tcPr>
            <w:tcW w:w="3005" w:type="dxa"/>
            <w:tcBorders>
              <w:right w:val="nil"/>
            </w:tcBorders>
          </w:tcPr>
          <w:p w14:paraId="41F620B3" w14:textId="77777777" w:rsidR="00A5534D" w:rsidRPr="00A5534D" w:rsidRDefault="00A5534D" w:rsidP="00A5534D">
            <w:pPr>
              <w:pStyle w:val="NormalinTable"/>
              <w:rPr>
                <w:sz w:val="21"/>
                <w:szCs w:val="28"/>
              </w:rPr>
            </w:pPr>
            <w:r w:rsidRPr="00A5534D">
              <w:rPr>
                <w:sz w:val="21"/>
                <w:szCs w:val="28"/>
              </w:rPr>
              <w:t>Cu</w:t>
            </w:r>
          </w:p>
        </w:tc>
        <w:tc>
          <w:tcPr>
            <w:tcW w:w="3005" w:type="dxa"/>
            <w:tcBorders>
              <w:left w:val="nil"/>
            </w:tcBorders>
          </w:tcPr>
          <w:p w14:paraId="1A515B08" w14:textId="77777777" w:rsidR="00A5534D" w:rsidRPr="00A5534D" w:rsidRDefault="00A5534D" w:rsidP="00A5534D">
            <w:pPr>
              <w:pStyle w:val="NormalinTable"/>
              <w:rPr>
                <w:sz w:val="21"/>
                <w:szCs w:val="28"/>
              </w:rPr>
            </w:pPr>
            <w:r w:rsidRPr="00A5534D">
              <w:rPr>
                <w:sz w:val="21"/>
                <w:szCs w:val="28"/>
              </w:rPr>
              <w:t>Copper</w:t>
            </w:r>
          </w:p>
        </w:tc>
        <w:tc>
          <w:tcPr>
            <w:tcW w:w="3006" w:type="dxa"/>
          </w:tcPr>
          <w:p w14:paraId="3E1DF9E1" w14:textId="77777777" w:rsidR="00A5534D" w:rsidRPr="00A5534D" w:rsidRDefault="00A5534D" w:rsidP="00A5534D">
            <w:pPr>
              <w:pStyle w:val="NormalinTable"/>
              <w:rPr>
                <w:sz w:val="21"/>
                <w:szCs w:val="28"/>
              </w:rPr>
            </w:pPr>
            <w:r w:rsidRPr="00A5534D">
              <w:rPr>
                <w:sz w:val="21"/>
                <w:szCs w:val="28"/>
              </w:rPr>
              <w:t>0.4</w:t>
            </w:r>
          </w:p>
        </w:tc>
      </w:tr>
    </w:tbl>
    <w:p w14:paraId="10226243" w14:textId="77777777" w:rsidR="00A5534D" w:rsidRDefault="00A5534D" w:rsidP="00A5534D"/>
    <w:p w14:paraId="122062AF" w14:textId="77777777" w:rsidR="00A5534D" w:rsidRDefault="00A5534D" w:rsidP="00A5534D">
      <w:pPr>
        <w:pStyle w:val="ListBullet"/>
        <w:numPr>
          <w:ilvl w:val="0"/>
          <w:numId w:val="167"/>
        </w:numPr>
      </w:pPr>
      <w:r>
        <w:t>Tin alloys:</w:t>
      </w:r>
    </w:p>
    <w:p w14:paraId="7F768BD8" w14:textId="77777777" w:rsidR="00A5534D" w:rsidRDefault="00A5534D" w:rsidP="00A5534D">
      <w:r>
        <w:t>Metallic substances in which tin predominates by weight over each of the other elements, provided that:</w:t>
      </w:r>
    </w:p>
    <w:p w14:paraId="01DFC71F" w14:textId="77777777" w:rsidR="00A5534D" w:rsidRDefault="00A5534D" w:rsidP="00A5534D">
      <w:r>
        <w:t>(1) the total content by weight of such other elements exceeds 1% or</w:t>
      </w:r>
    </w:p>
    <w:p w14:paraId="00E6A83D" w14:textId="77777777" w:rsidR="00A5534D" w:rsidRDefault="00A5534D" w:rsidP="00A5534D">
      <w:r>
        <w:t>(2) the content by weight of either bismuth or copper is equal to or greater than the limit specified in the foregoing table.</w:t>
      </w:r>
    </w:p>
    <w:p w14:paraId="466E971D" w14:textId="5CC629B0" w:rsidR="00E4554C" w:rsidRPr="00A5534D" w:rsidRDefault="00E4554C" w:rsidP="00A5534D"/>
    <w:sectPr w:rsidR="00E4554C" w:rsidRPr="00A5534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860EF" w14:textId="77777777" w:rsidR="003046D5" w:rsidRDefault="003046D5" w:rsidP="00A0507B">
      <w:pPr>
        <w:spacing w:after="0" w:line="240" w:lineRule="auto"/>
      </w:pPr>
      <w:r>
        <w:separator/>
      </w:r>
    </w:p>
  </w:endnote>
  <w:endnote w:type="continuationSeparator" w:id="0">
    <w:p w14:paraId="5F53F61C" w14:textId="77777777" w:rsidR="003046D5" w:rsidRDefault="003046D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18834" w14:textId="77777777" w:rsidR="003046D5" w:rsidRDefault="003046D5">
      <w:pPr>
        <w:spacing w:after="0" w:line="240" w:lineRule="auto"/>
      </w:pPr>
      <w:r>
        <w:separator/>
      </w:r>
    </w:p>
  </w:footnote>
  <w:footnote w:type="continuationSeparator" w:id="0">
    <w:p w14:paraId="375D281D" w14:textId="77777777" w:rsidR="003046D5" w:rsidRDefault="00304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6D5"/>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2E9A"/>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2AE0"/>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3EA"/>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34D"/>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12E9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15EF733-6F22-4F33-8E6E-9C5F2DC3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2019-07-08T10:21:00Z</dcterms:created>
  <dcterms:modified xsi:type="dcterms:W3CDTF">2019-07-14T11:05:00Z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