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7CCF" w14:textId="77777777" w:rsidR="0025102E" w:rsidRDefault="0025102E" w:rsidP="0025102E">
      <w:pPr>
        <w:pStyle w:val="Heading1"/>
      </w:pPr>
      <w:r>
        <w:t>Section XX</w:t>
      </w:r>
      <w:r>
        <w:br/>
        <w:t>Miscellaneous manufactured articles</w:t>
      </w:r>
    </w:p>
    <w:p w14:paraId="0055D41D" w14:textId="77777777" w:rsidR="0025102E" w:rsidRDefault="0025102E" w:rsidP="0025102E">
      <w:pPr>
        <w:jc w:val="center"/>
        <w:rPr>
          <w:b/>
          <w:bCs/>
          <w:color w:val="000000"/>
        </w:rPr>
      </w:pPr>
    </w:p>
    <w:p w14:paraId="77B717E0" w14:textId="77777777" w:rsidR="0025102E" w:rsidRDefault="0025102E" w:rsidP="0025102E">
      <w:pPr>
        <w:jc w:val="center"/>
      </w:pPr>
      <w:r>
        <w:rPr>
          <w:b/>
          <w:bCs/>
          <w:color w:val="000000"/>
        </w:rPr>
        <w:t>SECTION XX</w:t>
      </w:r>
    </w:p>
    <w:p w14:paraId="461BE72F" w14:textId="77777777" w:rsidR="0025102E" w:rsidRDefault="0025102E" w:rsidP="0025102E">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14:paraId="3780D336" w14:textId="77777777" w:rsidR="0025102E" w:rsidRDefault="0025102E" w:rsidP="0025102E">
      <w:pPr>
        <w:pStyle w:val="Heading3"/>
        <w:spacing w:before="240" w:after="120"/>
      </w:pPr>
      <w:r>
        <w:t>Chapter Notes</w:t>
      </w:r>
    </w:p>
    <w:p w14:paraId="64338FFD" w14:textId="77777777" w:rsidR="0025102E" w:rsidRDefault="0025102E" w:rsidP="0025102E">
      <w:r>
        <w:t>1. This chapter does not cover:</w:t>
      </w:r>
    </w:p>
    <w:p w14:paraId="2927C0CB" w14:textId="77777777" w:rsidR="0025102E" w:rsidRDefault="0025102E" w:rsidP="0025102E">
      <w:pPr>
        <w:pStyle w:val="ListBullet"/>
        <w:numPr>
          <w:ilvl w:val="0"/>
          <w:numId w:val="194"/>
        </w:numPr>
      </w:pPr>
      <w:r>
        <w:t>pneumatic or water mattresses, pillows or cushions, of Chapter 39, 40 or 63;</w:t>
      </w:r>
    </w:p>
    <w:p w14:paraId="751BE417" w14:textId="77777777" w:rsidR="0025102E" w:rsidRDefault="0025102E" w:rsidP="0025102E">
      <w:pPr>
        <w:pStyle w:val="ListBullet"/>
        <w:numPr>
          <w:ilvl w:val="0"/>
          <w:numId w:val="194"/>
        </w:numPr>
      </w:pPr>
      <w:r>
        <w:t>mirrors designed for placing on the floor or ground (for example, cheval-glasses (swing-mirrors)) of heading 7009;</w:t>
      </w:r>
    </w:p>
    <w:p w14:paraId="4A0A36F9" w14:textId="77777777" w:rsidR="0025102E" w:rsidRDefault="0025102E" w:rsidP="0025102E">
      <w:pPr>
        <w:pStyle w:val="ListBullet"/>
        <w:numPr>
          <w:ilvl w:val="0"/>
          <w:numId w:val="194"/>
        </w:numPr>
      </w:pPr>
      <w:r>
        <w:t>articles of Chapter 71;</w:t>
      </w:r>
    </w:p>
    <w:p w14:paraId="04EBC89A" w14:textId="77777777" w:rsidR="0025102E" w:rsidRDefault="0025102E" w:rsidP="0025102E">
      <w:pPr>
        <w:pStyle w:val="ListBullet"/>
        <w:numPr>
          <w:ilvl w:val="0"/>
          <w:numId w:val="194"/>
        </w:numPr>
      </w:pPr>
      <w:r>
        <w:t>parts of general use as defined in note 2 to Section XV, of base metal (Section XV), or similar goods of plastics (Chapter 39), or safes of heading 8303;</w:t>
      </w:r>
    </w:p>
    <w:p w14:paraId="647B5CC3" w14:textId="77777777" w:rsidR="0025102E" w:rsidRDefault="0025102E" w:rsidP="0025102E">
      <w:pPr>
        <w:pStyle w:val="ListBullet"/>
        <w:numPr>
          <w:ilvl w:val="0"/>
          <w:numId w:val="194"/>
        </w:numPr>
      </w:pPr>
      <w:r>
        <w:t>furniture specially designed as parts of refrigerating or freezing equipment of heading 8418; furniture specially designed for sewing machines (heading 8452);</w:t>
      </w:r>
    </w:p>
    <w:p w14:paraId="6BA2941B" w14:textId="77777777" w:rsidR="0025102E" w:rsidRDefault="0025102E" w:rsidP="0025102E">
      <w:pPr>
        <w:pStyle w:val="ListBullet"/>
        <w:numPr>
          <w:ilvl w:val="0"/>
          <w:numId w:val="194"/>
        </w:numPr>
      </w:pPr>
      <w:r>
        <w:t>lamps or lighting fittings of Chapter 85;</w:t>
      </w:r>
    </w:p>
    <w:p w14:paraId="5718C5E5" w14:textId="77777777" w:rsidR="0025102E" w:rsidRDefault="0025102E" w:rsidP="0025102E">
      <w:pPr>
        <w:pStyle w:val="ListBullet"/>
        <w:numPr>
          <w:ilvl w:val="0"/>
          <w:numId w:val="194"/>
        </w:numPr>
      </w:pPr>
      <w:r>
        <w:t>furniture specially designed as parts of apparatus of heading 8518 (heading 8518), of heading 8519 or 8521 (heading 8522) or of headings 8525 to 8528 (heading 8529);</w:t>
      </w:r>
    </w:p>
    <w:p w14:paraId="6C6CC638" w14:textId="77777777" w:rsidR="0025102E" w:rsidRDefault="0025102E" w:rsidP="0025102E">
      <w:pPr>
        <w:pStyle w:val="ListBullet"/>
        <w:numPr>
          <w:ilvl w:val="0"/>
          <w:numId w:val="194"/>
        </w:numPr>
      </w:pPr>
      <w:r>
        <w:t>articles of heading 8714;</w:t>
      </w:r>
    </w:p>
    <w:p w14:paraId="23FD3EFE" w14:textId="77777777" w:rsidR="0025102E" w:rsidRDefault="0025102E" w:rsidP="0025102E">
      <w:pPr>
        <w:pStyle w:val="ListBullet"/>
        <w:numPr>
          <w:ilvl w:val="0"/>
          <w:numId w:val="0"/>
        </w:numPr>
      </w:pPr>
      <w:proofErr w:type="spellStart"/>
      <w:r>
        <w:t>ij</w:t>
      </w:r>
      <w:proofErr w:type="spellEnd"/>
      <w:r>
        <w:t>.   dentists' chairs incorporating dental appliances of heading 9018 or dentists' spittoons (heading 9018);</w:t>
      </w:r>
    </w:p>
    <w:p w14:paraId="4566586F" w14:textId="77777777" w:rsidR="0025102E" w:rsidRDefault="0025102E" w:rsidP="0025102E">
      <w:pPr>
        <w:pStyle w:val="ListBullet"/>
        <w:numPr>
          <w:ilvl w:val="0"/>
          <w:numId w:val="221"/>
        </w:numPr>
      </w:pPr>
      <w:r>
        <w:t>articles of Chapter 91 (for example, clocks and clock cases);</w:t>
      </w:r>
    </w:p>
    <w:p w14:paraId="025B8314" w14:textId="77777777" w:rsidR="0025102E" w:rsidRDefault="0025102E" w:rsidP="0025102E">
      <w:pPr>
        <w:pStyle w:val="ListBullet"/>
        <w:numPr>
          <w:ilvl w:val="0"/>
          <w:numId w:val="221"/>
        </w:numPr>
      </w:pPr>
      <w:r>
        <w:t>toy furniture or toy lamps or lighting fittings (heading 9503), billiard tables or other furniture specially constructed for games (heading 9504), furniture for conjuring tricks or decorations (other than electric garlands) such as Chinese lanterns (heading 9505). or</w:t>
      </w:r>
    </w:p>
    <w:p w14:paraId="0BC04733" w14:textId="77777777" w:rsidR="0025102E" w:rsidRDefault="0025102E" w:rsidP="0025102E">
      <w:pPr>
        <w:pStyle w:val="ListBullet"/>
        <w:numPr>
          <w:ilvl w:val="0"/>
          <w:numId w:val="221"/>
        </w:numPr>
      </w:pPr>
      <w:r>
        <w:t>monopods, bipods, tripods and similar articles (heading 9620).</w:t>
      </w:r>
    </w:p>
    <w:p w14:paraId="6A781418" w14:textId="77777777" w:rsidR="0025102E" w:rsidRDefault="0025102E" w:rsidP="0025102E">
      <w:r>
        <w:t>2. The articles (other than parts) referred to in headings 9401 to 9403 are to be classified in those headings only if they are designed for placing on the floor or ground.</w:t>
      </w:r>
    </w:p>
    <w:p w14:paraId="1BA7BFC4" w14:textId="77777777" w:rsidR="0025102E" w:rsidRDefault="0025102E" w:rsidP="0025102E">
      <w:r>
        <w:t>The following are, however, to be classified in the headings mentioned above even if they are designed to be hung, to be fixed to the wall or to stand one on the other:</w:t>
      </w:r>
    </w:p>
    <w:p w14:paraId="0D7491B5" w14:textId="77777777" w:rsidR="0025102E" w:rsidRDefault="0025102E" w:rsidP="0025102E">
      <w:pPr>
        <w:pStyle w:val="ListBullet"/>
        <w:numPr>
          <w:ilvl w:val="0"/>
          <w:numId w:val="195"/>
        </w:numPr>
      </w:pPr>
      <w:r>
        <w:t>cupboards, bookcases, other shelved furniture (including single shelves presented with supports for fixing them to the wall) and unit furniture;</w:t>
      </w:r>
    </w:p>
    <w:p w14:paraId="4C067584" w14:textId="77777777" w:rsidR="0025102E" w:rsidRDefault="0025102E" w:rsidP="0025102E">
      <w:pPr>
        <w:pStyle w:val="ListBullet"/>
        <w:numPr>
          <w:ilvl w:val="0"/>
          <w:numId w:val="195"/>
        </w:numPr>
      </w:pPr>
      <w:r>
        <w:t>seats and beds.</w:t>
      </w:r>
    </w:p>
    <w:p w14:paraId="2ED71B9A" w14:textId="77777777" w:rsidR="0025102E" w:rsidRDefault="0025102E" w:rsidP="0025102E">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14:paraId="0D4AA3D6" w14:textId="77777777" w:rsidR="0025102E" w:rsidRDefault="0025102E" w:rsidP="0025102E">
      <w:r>
        <w:t>(B) Goods described in heading 9404, presented separately, are not to be classified in heading 9401, 9402 or 9403 as parts of goods.</w:t>
      </w:r>
    </w:p>
    <w:p w14:paraId="037C07C3" w14:textId="77777777" w:rsidR="0025102E" w:rsidRDefault="0025102E" w:rsidP="0025102E">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14:paraId="48426E19" w14:textId="639AE1C5" w:rsidR="0025102E" w:rsidRPr="006014EE" w:rsidRDefault="0025102E" w:rsidP="0025102E">
      <w:pPr>
        <w:pStyle w:val="Heading3"/>
        <w:spacing w:before="240" w:after="120"/>
      </w:pPr>
      <w:r>
        <w:lastRenderedPageBreak/>
        <w:t>Additional Chapter Note</w:t>
      </w:r>
      <w:r w:rsidRPr="006014EE">
        <w:t>s</w:t>
      </w:r>
    </w:p>
    <w:p w14:paraId="466E971D" w14:textId="3786A001" w:rsidR="00E4554C" w:rsidRPr="0025102E" w:rsidRDefault="0025102E" w:rsidP="0025102E">
      <w:r w:rsidRPr="006014EE">
        <w:t>1. For the purposes of heading 9404, the expression “stuffed or internally fitted with any material” covers material of any thickness.</w:t>
      </w:r>
      <w:bookmarkStart w:id="0" w:name="_GoBack"/>
      <w:bookmarkEnd w:id="0"/>
    </w:p>
    <w:sectPr w:rsidR="00E4554C" w:rsidRPr="0025102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F2CCC" w14:textId="77777777" w:rsidR="00B14BFA" w:rsidRDefault="00B14BFA" w:rsidP="00A0507B">
      <w:pPr>
        <w:spacing w:after="0" w:line="240" w:lineRule="auto"/>
      </w:pPr>
      <w:r>
        <w:separator/>
      </w:r>
    </w:p>
  </w:endnote>
  <w:endnote w:type="continuationSeparator" w:id="0">
    <w:p w14:paraId="20A2095A" w14:textId="77777777" w:rsidR="00B14BFA" w:rsidRDefault="00B14BF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801E9" w14:textId="77777777" w:rsidR="00B14BFA" w:rsidRDefault="00B14BFA">
      <w:pPr>
        <w:spacing w:after="0" w:line="240" w:lineRule="auto"/>
      </w:pPr>
      <w:r>
        <w:separator/>
      </w:r>
    </w:p>
  </w:footnote>
  <w:footnote w:type="continuationSeparator" w:id="0">
    <w:p w14:paraId="5DED42D1" w14:textId="77777777" w:rsidR="00B14BFA" w:rsidRDefault="00B14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02E"/>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D7747"/>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4BFA"/>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154"/>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D611A"/>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CD611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3A06E73-C8FD-4A61-8F5B-266E7978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2019-07-08T10:49:00Z</dcterms:created>
  <dcterms:modified xsi:type="dcterms:W3CDTF">2019-07-14T11:16:00Z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