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jc w:val="center"/>
      </w:pPr>
      <w:r>
        <w:rPr>
          <w:rFonts w:ascii="Arial" w:cs="Arial" w:eastAsia="Arial" w:hAnsi="Arial"/>
          <w:b/>
          <w:bCs/>
          <w:color w:val="1B3A6B"/>
          <w:sz w:val="52"/>
          <w:szCs w:val="52"/>
        </w:rPr>
        <w:t xml:space="preserve">UKUBONA LLC</w:t>
      </w:r>
    </w:p>
    <w:p>
      <w:pPr>
        <w:pBdr>
          <w:bottom w:val="single" w:color="C8961E" w:sz="12" w:space="6"/>
        </w:pBdr>
        <w:spacing w:before="80" w:after="200"/>
        <w:jc w:val="center"/>
      </w:pPr>
      <w:r>
        <w:rPr>
          <w:rFonts w:ascii="Arial" w:cs="Arial" w:eastAsia="Arial" w:hAnsi="Arial"/>
          <w:i/>
          <w:iCs/>
          <w:color w:val="0D7377"/>
          <w:sz w:val="28"/>
          <w:szCs w:val="28"/>
        </w:rPr>
        <w:t xml:space="preserve">Augmenting Cognition at the Point of Care</w:t>
      </w:r>
    </w:p>
    <w:p>
      <w:pPr>
        <w:spacing w:before="60" w:after="60"/>
      </w:pPr>
      <w:r>
        <w:t xml:space="preserve"/>
      </w:r>
    </w:p>
    <w:p>
      <w:pPr>
        <w:spacing w:before="60" w:after="60"/>
      </w:pPr>
      <w:r>
        <w:t xml:space="preserve"/>
      </w:r>
    </w:p>
    <w:p>
      <w:pPr>
        <w:spacing w:before="40" w:after="40"/>
        <w:jc w:val="center"/>
      </w:pPr>
      <w:r>
        <w:rPr>
          <w:rFonts w:ascii="Arial" w:cs="Arial" w:eastAsia="Arial" w:hAnsi="Arial"/>
          <w:b/>
          <w:bCs/>
          <w:color w:val="1B3A6B"/>
          <w:sz w:val="40"/>
          <w:szCs w:val="40"/>
        </w:rPr>
        <w:t xml:space="preserve">FULL PROPOSAL</w:t>
      </w:r>
    </w:p>
    <w:p>
      <w:pPr>
        <w:spacing w:before="40" w:after="40"/>
        <w:jc w:val="center"/>
      </w:pPr>
      <w:r>
        <w:rPr>
          <w:rFonts w:ascii="Arial" w:cs="Arial" w:eastAsia="Arial" w:hAnsi="Arial"/>
          <w:color w:val="4A4A4A"/>
          <w:sz w:val="26"/>
          <w:szCs w:val="26"/>
        </w:rPr>
        <w:t xml:space="preserve">Rare Impact Fund  ·  Mental Health Grant Cycle 2026</w:t>
      </w:r>
    </w:p>
    <w:p>
      <w:pPr>
        <w:spacing w:before="60" w:after="60"/>
      </w:pPr>
      <w:r>
        <w:t xml:space="preserve"/>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Applicant</w:t>
            </w:r>
          </w:p>
        </w:tc>
        <w:tc>
          <w:tcPr>
            <w:tcW w:type="dxa" w:w="6860"/>
            <w:tcBorders>
              <w:top w:val="none" w:color="FFFFFF" w:sz="0"/>
              <w:left w:val="none" w:color="FFFFFF" w:sz="0"/>
              <w:bottom w:val="none" w:color="FFFFFF" w:sz="0"/>
              <w:right w:val="none" w:color="FFFFFF" w:sz="0"/>
            </w:tcBorders>
            <w:shd w:fill="F2F4F7" w:val="clear"/>
            <w:tcMar>
              <w:top w:type="dxa" w:w="80"/>
              <w:left w:type="dxa" w:w="140"/>
              <w:bottom w:type="dxa" w:w="80"/>
              <w:right w:type="dxa" w:w="140"/>
            </w:tcMar>
          </w:tcPr>
          <w:p>
            <w:r>
              <w:rPr>
                <w:rFonts w:ascii="Arial" w:cs="Arial" w:eastAsia="Arial" w:hAnsi="Arial"/>
                <w:sz w:val="22"/>
                <w:szCs w:val="22"/>
              </w:rPr>
              <w:t xml:space="preserve">Ukubona LLC  ·  Maryland, USA  |  Kampala, Uganda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LOI Deadline</w:t>
            </w:r>
          </w:p>
        </w:tc>
        <w:tc>
          <w:tcPr>
            <w:tcW w:type="dxa" w:w="6860"/>
            <w:tcBorders>
              <w:top w:val="none" w:color="FFFFFF" w:sz="0"/>
              <w:left w:val="none" w:color="FFFFFF" w:sz="0"/>
              <w:bottom w:val="none" w:color="FFFFFF" w:sz="0"/>
              <w:right w:val="none" w:color="FFFFFF" w:sz="0"/>
            </w:tcBorders>
            <w:shd w:fill="F2F4F7" w:val="clear"/>
            <w:tcMar>
              <w:top w:type="dxa" w:w="80"/>
              <w:left w:type="dxa" w:w="140"/>
              <w:bottom w:type="dxa" w:w="80"/>
              <w:right w:type="dxa" w:w="140"/>
            </w:tcMar>
          </w:tcPr>
          <w:p>
            <w:r>
              <w:rPr>
                <w:rFonts w:ascii="Arial" w:cs="Arial" w:eastAsia="Arial" w:hAnsi="Arial"/>
                <w:sz w:val="22"/>
                <w:szCs w:val="22"/>
              </w:rPr>
              <w:t xml:space="preserve">April 10,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Ask</w:t>
            </w:r>
          </w:p>
        </w:tc>
        <w:tc>
          <w:tcPr>
            <w:tcW w:type="dxa" w:w="6860"/>
            <w:tcBorders>
              <w:top w:val="none" w:color="FFFFFF" w:sz="0"/>
              <w:left w:val="none" w:color="FFFFFF" w:sz="0"/>
              <w:bottom w:val="none" w:color="FFFFFF" w:sz="0"/>
              <w:right w:val="none" w:color="FFFFFF" w:sz="0"/>
            </w:tcBorders>
            <w:shd w:fill="F2F4F7" w:val="clear"/>
            <w:tcMar>
              <w:top w:type="dxa" w:w="80"/>
              <w:left w:type="dxa" w:w="140"/>
              <w:bottom w:type="dxa" w:w="80"/>
              <w:right w:type="dxa" w:w="140"/>
            </w:tcMar>
          </w:tcPr>
          <w:p>
            <w:r>
              <w:rPr>
                <w:rFonts w:ascii="Arial" w:cs="Arial" w:eastAsia="Arial" w:hAnsi="Arial"/>
                <w:sz w:val="22"/>
                <w:szCs w:val="22"/>
              </w:rPr>
              <w:t xml:space="preserve">$250,000 – $500,000 (12-month pilot + deployment)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Contact</w:t>
            </w:r>
          </w:p>
        </w:tc>
        <w:tc>
          <w:tcPr>
            <w:tcW w:type="dxa" w:w="6860"/>
            <w:tcBorders>
              <w:top w:val="none" w:color="FFFFFF" w:sz="0"/>
              <w:left w:val="none" w:color="FFFFFF" w:sz="0"/>
              <w:bottom w:val="none" w:color="FFFFFF" w:sz="0"/>
              <w:right w:val="none" w:color="FFFFFF" w:sz="0"/>
            </w:tcBorders>
            <w:shd w:fill="F2F4F7" w:val="clear"/>
            <w:tcMar>
              <w:top w:type="dxa" w:w="80"/>
              <w:left w:type="dxa" w:w="140"/>
              <w:bottom w:type="dxa" w:w="80"/>
              <w:right w:type="dxa" w:w="140"/>
            </w:tcMar>
          </w:tcPr>
          <w:p>
            <w:r>
              <w:rPr>
                <w:rFonts w:ascii="Arial" w:cs="Arial" w:eastAsia="Arial" w:hAnsi="Arial"/>
                <w:sz w:val="22"/>
                <w:szCs w:val="22"/>
              </w:rPr>
              <w:t xml:space="preserve">[Applicant Name]  ·  [Email]  ·  [Phone]</w:t>
            </w:r>
          </w:p>
        </w:tc>
      </w:tr>
    </w:tbl>
    <w:p>
      <w:pPr>
        <w:spacing w:before="60" w:after="60"/>
      </w:pPr>
      <w:r>
        <w:t xml:space="preserve"/>
      </w:r>
    </w:p>
    <w:p>
      <w:pPr>
        <w:spacing w:before="60" w:after="60"/>
      </w:pPr>
      <w:r>
        <w:t xml:space="preserve"/>
      </w:r>
    </w:p>
    <w:p>
      <w:pPr>
        <w:spacing w:before="60" w:after="60"/>
      </w:pPr>
      <w:r>
        <w:t xml:space="preserve"/>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Table of Contents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sz w:val="22"/>
                <w:szCs w:val="22"/>
              </w:rPr>
              <w:t xml:space="preserve">Letter of Intent (LOI)</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3</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sz w:val="22"/>
                <w:szCs w:val="22"/>
              </w:rPr>
              <w:t xml:space="preserve">Executive Summary</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4</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val="false"/>
                <w:bCs w:val="false"/>
                <w:sz w:val="22"/>
                <w:szCs w:val="22"/>
              </w:rPr>
              <w:t xml:space="preserve">The Problem: Cognitive Overload at the Frontlines</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4</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val="false"/>
                <w:bCs w:val="false"/>
                <w:sz w:val="22"/>
                <w:szCs w:val="22"/>
              </w:rPr>
              <w:t xml:space="preserve">The Solution: Ukubona Digital Twin</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4</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sz w:val="22"/>
                <w:szCs w:val="22"/>
              </w:rPr>
              <w:t xml:space="preserve">Theory of Change</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5</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val="false"/>
                <w:bCs w:val="false"/>
                <w:sz w:val="22"/>
                <w:szCs w:val="22"/>
              </w:rPr>
              <w:t xml:space="preserve">Inputs → Activities → Outputs → Outcomes → Impact</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5</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sz w:val="22"/>
                <w:szCs w:val="22"/>
              </w:rPr>
              <w:t xml:space="preserve">Mapping to Rare Impact Fund Pillars</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6</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sz w:val="22"/>
                <w:szCs w:val="22"/>
              </w:rPr>
              <w:t xml:space="preserve">Pilot Program Design</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7</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val="false"/>
                <w:bCs w:val="false"/>
                <w:sz w:val="22"/>
                <w:szCs w:val="22"/>
              </w:rPr>
              <w:t xml:space="preserve">Phase 1: Deployment &amp; Onboarding (Months 1–3)</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7</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val="false"/>
                <w:bCs w:val="false"/>
                <w:sz w:val="22"/>
                <w:szCs w:val="22"/>
              </w:rPr>
              <w:t xml:space="preserve">Phase 2: Active Use &amp; Iteration (Months 4–9)</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7</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val="false"/>
                <w:bCs w:val="false"/>
                <w:sz w:val="22"/>
                <w:szCs w:val="22"/>
              </w:rPr>
              <w:t xml:space="preserve">Phase 3: Evaluation &amp; Scale Planning (Months 10–12)</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8</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sz w:val="22"/>
                <w:szCs w:val="22"/>
              </w:rPr>
              <w:t xml:space="preserve">Evaluation Framework</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9</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val="false"/>
                <w:bCs w:val="false"/>
                <w:sz w:val="22"/>
                <w:szCs w:val="22"/>
              </w:rPr>
              <w:t xml:space="preserve">KPI Dashboard</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9</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val="false"/>
                <w:bCs w:val="false"/>
                <w:sz w:val="22"/>
                <w:szCs w:val="22"/>
              </w:rPr>
              <w:t xml:space="preserve">Data Collection &amp; Analysis</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10</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sz w:val="22"/>
                <w:szCs w:val="22"/>
              </w:rPr>
              <w:t xml:space="preserve">The Technical Architecture (NPA-05)</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11</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val="false"/>
                <w:bCs w:val="false"/>
                <w:sz w:val="22"/>
                <w:szCs w:val="22"/>
              </w:rPr>
              <w:t xml:space="preserve">The Invariant Chain: T→W→v→Eig→κ</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11</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val="false"/>
                <w:bCs w:val="false"/>
                <w:sz w:val="22"/>
                <w:szCs w:val="22"/>
              </w:rPr>
              <w:t xml:space="preserve">LLM Decision-Support Interface</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11</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sz w:val="22"/>
                <w:szCs w:val="22"/>
              </w:rPr>
              <w:t xml:space="preserve">Budget Outline</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12</w:t>
            </w:r>
          </w:p>
        </w:tc>
      </w:tr>
      <w:tr>
        <w:tc>
          <w:tcPr>
            <w:tcW w:type="dxa" w:w="7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b/>
                <w:bCs/>
                <w:sz w:val="22"/>
                <w:szCs w:val="22"/>
              </w:rPr>
              <w:t xml:space="preserve">Organizational Capacity</w:t>
            </w:r>
          </w:p>
        </w:tc>
        <w:tc>
          <w:tcPr>
            <w:tcW w:type="dxa" w:w="18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right"/>
            </w:pPr>
            <w:r>
              <w:rPr>
                <w:rFonts w:ascii="Arial" w:cs="Arial" w:eastAsia="Arial" w:hAnsi="Arial"/>
                <w:sz w:val="22"/>
                <w:szCs w:val="22"/>
              </w:rPr>
              <w:t xml:space="preserve">13</w:t>
            </w:r>
          </w:p>
        </w:tc>
      </w:tr>
      <w:tr>
        <w:tc>
          <w:tcPr>
            <w:tcW w:type="dxa" w:w="750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r>
              <w:rPr>
                <w:rFonts w:ascii="Arial" w:cs="Arial" w:eastAsia="Arial" w:hAnsi="Arial"/>
                <w:b/>
                <w:bCs/>
                <w:sz w:val="22"/>
                <w:szCs w:val="22"/>
              </w:rPr>
              <w:t xml:space="preserve">Appendix: Architecture Diagram (NPA-05 Chain)</w:t>
            </w:r>
          </w:p>
        </w:tc>
        <w:tc>
          <w:tcPr>
            <w:tcW w:type="dxa" w:w="1860"/>
            <w:tcBorders>
              <w:top w:val="none" w:color="FFFFFF" w:sz="0"/>
              <w:left w:val="none" w:color="FFFFFF" w:sz="0"/>
              <w:bottom w:val="none" w:color="FFFFFF" w:sz="0"/>
              <w:right w:val="none" w:color="FFFFFF" w:sz="0"/>
            </w:tcBorders>
            <w:shd w:fill="F2F4F7" w:val="clear"/>
            <w:tcMar>
              <w:top w:type="dxa" w:w="60"/>
              <w:left w:type="dxa" w:w="120"/>
              <w:bottom w:type="dxa" w:w="60"/>
              <w:right w:type="dxa" w:w="120"/>
            </w:tcMar>
          </w:tcPr>
          <w:p>
            <w:pPr>
              <w:jc w:val="right"/>
            </w:pPr>
            <w:r>
              <w:rPr>
                <w:rFonts w:ascii="Arial" w:cs="Arial" w:eastAsia="Arial" w:hAnsi="Arial"/>
                <w:sz w:val="22"/>
                <w:szCs w:val="22"/>
              </w:rPr>
              <w:t xml:space="preserve">14</w:t>
            </w:r>
          </w:p>
        </w:tc>
      </w:tr>
    </w:tbl>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Letter of Intent</w:t>
      </w:r>
    </w:p>
    <w:p>
      <w:pPr>
        <w:spacing w:before="60" w:after="100"/>
        <w:jc w:val="left"/>
      </w:pPr>
      <w:r>
        <w:rPr>
          <w:rFonts w:ascii="Arial" w:cs="Arial" w:eastAsia="Arial" w:hAnsi="Arial"/>
          <w:b w:val="false"/>
          <w:bCs w:val="false"/>
          <w:i w:val="false"/>
          <w:iCs w:val="false"/>
          <w:color w:val="000000"/>
          <w:sz w:val="22"/>
          <w:szCs w:val="22"/>
        </w:rPr>
        <w:t xml:space="preserve">April 10, 2026</w:t>
      </w:r>
    </w:p>
    <w:p>
      <w:pPr>
        <w:spacing w:before="60" w:after="60"/>
      </w:pPr>
      <w:r>
        <w:t xml:space="preserve"/>
      </w:r>
    </w:p>
    <w:p>
      <w:pPr>
        <w:spacing w:before="60" w:after="100"/>
        <w:jc w:val="left"/>
      </w:pPr>
      <w:r>
        <w:rPr>
          <w:rFonts w:ascii="Arial" w:cs="Arial" w:eastAsia="Arial" w:hAnsi="Arial"/>
          <w:b w:val="false"/>
          <w:bCs w:val="false"/>
          <w:i w:val="false"/>
          <w:iCs w:val="false"/>
          <w:color w:val="000000"/>
          <w:sz w:val="22"/>
          <w:szCs w:val="22"/>
        </w:rPr>
        <w:t xml:space="preserve">Dear Rare Impact Fund Review Committee,</w:t>
      </w:r>
    </w:p>
    <w:p>
      <w:pPr>
        <w:spacing w:before="60" w:after="60"/>
      </w:pPr>
      <w:r>
        <w:t xml:space="preserve"/>
      </w:r>
    </w:p>
    <w:p>
      <w:pPr>
        <w:spacing w:before="60" w:after="100"/>
        <w:jc w:val="left"/>
      </w:pPr>
      <w:r>
        <w:rPr>
          <w:rFonts w:ascii="Arial" w:cs="Arial" w:eastAsia="Arial" w:hAnsi="Arial"/>
          <w:b w:val="false"/>
          <w:bCs w:val="false"/>
          <w:i w:val="false"/>
          <w:iCs w:val="false"/>
          <w:color w:val="000000"/>
          <w:sz w:val="22"/>
          <w:szCs w:val="22"/>
        </w:rPr>
        <w:t xml:space="preserve">On behalf of Ukubona LLC, we respectfully submit this Letter of Intent to apply for the Rare Impact Fund Mental Health Grant. We are requesting between $250,000 and $500,000 to fund the production deployment, user-experience optimization, and 12-month pilot study of our AI-powered decision-support system for nonclinical youth mental health workers.</w:t>
      </w:r>
    </w:p>
    <w:p>
      <w:pPr>
        <w:spacing w:before="60" w:after="100"/>
        <w:jc w:val="left"/>
      </w:pPr>
      <w:r>
        <w:rPr>
          <w:rFonts w:ascii="Arial" w:cs="Arial" w:eastAsia="Arial" w:hAnsi="Arial"/>
          <w:b w:val="false"/>
          <w:bCs w:val="false"/>
          <w:i w:val="false"/>
          <w:iCs w:val="false"/>
          <w:color w:val="000000"/>
          <w:sz w:val="22"/>
          <w:szCs w:val="22"/>
        </w:rPr>
        <w:t xml:space="preserve">Our core intervention addresses one of the most persistent and underacknowledged failure points in mental health service delivery: the cognitive overload experienced by the frontline, nonclinical workforce. Peer supporters, community health workers, and school-based mentors are often the first — and sometimes only — point of contact for at-risk youth. Yet they routinely operate without real-time guidance, structured decision frameworks, or adequate protection from burnout.</w:t>
      </w:r>
    </w:p>
    <w:p>
      <w:pPr>
        <w:spacing w:before="60" w:after="100"/>
        <w:jc w:val="left"/>
      </w:pPr>
      <w:r>
        <w:rPr>
          <w:rFonts w:ascii="Arial" w:cs="Arial" w:eastAsia="Arial" w:hAnsi="Arial"/>
          <w:b w:val="false"/>
          <w:bCs w:val="false"/>
          <w:i w:val="false"/>
          <w:iCs w:val="false"/>
          <w:color w:val="000000"/>
          <w:sz w:val="22"/>
          <w:szCs w:val="22"/>
        </w:rPr>
        <w:t xml:space="preserve">Ukubona LLC has developed a digital twin architecture grounded in a recursive pentadic computational framework (T→W→v→Eig→κ), originally designed for Uganda's National Planning Authority. We are now translating this infrastructure into a direct-to-worker LLM interface that gives nonclinical mental health workers structured, intelligent decision support at the exact moment they need it.</w:t>
      </w:r>
    </w:p>
    <w:p>
      <w:pPr>
        <w:spacing w:before="60" w:after="100"/>
        <w:jc w:val="left"/>
      </w:pPr>
      <w:r>
        <w:rPr>
          <w:rFonts w:ascii="Arial" w:cs="Arial" w:eastAsia="Arial" w:hAnsi="Arial"/>
          <w:b w:val="false"/>
          <w:bCs w:val="false"/>
          <w:i w:val="false"/>
          <w:iCs w:val="false"/>
          <w:color w:val="000000"/>
          <w:sz w:val="22"/>
          <w:szCs w:val="22"/>
        </w:rPr>
        <w:t xml:space="preserve">We are not replacing human connection with AI. We are using AI to supercharge human connection — making every community health worker as effective as a well-supervised, well-resourced clinician.</w:t>
      </w:r>
    </w:p>
    <w:p>
      <w:pPr>
        <w:spacing w:before="60" w:after="100"/>
        <w:jc w:val="left"/>
      </w:pPr>
      <w:r>
        <w:rPr>
          <w:rFonts w:ascii="Arial" w:cs="Arial" w:eastAsia="Arial" w:hAnsi="Arial"/>
          <w:b w:val="false"/>
          <w:bCs w:val="false"/>
          <w:i w:val="false"/>
          <w:iCs w:val="false"/>
          <w:color w:val="000000"/>
          <w:sz w:val="22"/>
          <w:szCs w:val="22"/>
        </w:rPr>
        <w:t xml:space="preserve">The Rare Impact Fund's focus on scaling nonclinical mental health support aligns precisely with our architecture, our pilot population, and our 50-year vision for sovereign, community-owned mental health infrastructure. We welcome the opportunity to submit a full proposal and provide additional technical documentation or pilot design details.</w:t>
      </w:r>
    </w:p>
    <w:p>
      <w:pPr>
        <w:spacing w:before="60" w:after="60"/>
      </w:pPr>
      <w:r>
        <w:t xml:space="preserve"/>
      </w:r>
    </w:p>
    <w:p>
      <w:pPr>
        <w:spacing w:before="60" w:after="100"/>
        <w:jc w:val="left"/>
      </w:pPr>
      <w:r>
        <w:rPr>
          <w:rFonts w:ascii="Arial" w:cs="Arial" w:eastAsia="Arial" w:hAnsi="Arial"/>
          <w:b w:val="false"/>
          <w:bCs w:val="false"/>
          <w:i w:val="false"/>
          <w:iCs w:val="false"/>
          <w:color w:val="000000"/>
          <w:sz w:val="22"/>
          <w:szCs w:val="22"/>
        </w:rPr>
        <w:t xml:space="preserve">Sincerely,</w:t>
      </w:r>
    </w:p>
    <w:p>
      <w:pPr>
        <w:spacing w:before="60" w:after="60"/>
      </w:pPr>
      <w:r>
        <w:t xml:space="preserve"/>
      </w:r>
    </w:p>
    <w:p>
      <w:pPr>
        <w:spacing w:before="60" w:after="60"/>
      </w:pPr>
      <w:r>
        <w:t xml:space="preserve"/>
      </w:r>
    </w:p>
    <w:p>
      <w:pPr>
        <w:spacing w:before="60" w:after="100"/>
        <w:jc w:val="left"/>
      </w:pPr>
      <w:r>
        <w:rPr>
          <w:rFonts w:ascii="Arial" w:cs="Arial" w:eastAsia="Arial" w:hAnsi="Arial"/>
          <w:b w:val="false"/>
          <w:bCs w:val="false"/>
          <w:i w:val="false"/>
          <w:iCs w:val="false"/>
          <w:color w:val="000000"/>
          <w:sz w:val="22"/>
          <w:szCs w:val="22"/>
        </w:rPr>
        <w:t xml:space="preserve">[Applicant Name]</w:t>
      </w:r>
    </w:p>
    <w:p>
      <w:pPr>
        <w:spacing w:before="60" w:after="100"/>
        <w:jc w:val="left"/>
      </w:pPr>
      <w:r>
        <w:rPr>
          <w:rFonts w:ascii="Arial" w:cs="Arial" w:eastAsia="Arial" w:hAnsi="Arial"/>
          <w:b w:val="false"/>
          <w:bCs w:val="false"/>
          <w:i w:val="false"/>
          <w:iCs w:val="false"/>
          <w:color w:val="000000"/>
          <w:sz w:val="22"/>
          <w:szCs w:val="22"/>
        </w:rPr>
        <w:t xml:space="preserve">Ukubona LLC</w:t>
      </w:r>
    </w:p>
    <w:p>
      <w:pPr>
        <w:spacing w:before="60" w:after="100"/>
        <w:jc w:val="left"/>
      </w:pPr>
      <w:r>
        <w:rPr>
          <w:rFonts w:ascii="Arial" w:cs="Arial" w:eastAsia="Arial" w:hAnsi="Arial"/>
          <w:b w:val="false"/>
          <w:bCs w:val="false"/>
          <w:i w:val="false"/>
          <w:iCs w:val="false"/>
          <w:color w:val="000000"/>
          <w:sz w:val="22"/>
          <w:szCs w:val="22"/>
        </w:rPr>
        <w:t xml:space="preserve">[Email Address]  ·  [Phone Number]</w:t>
      </w:r>
    </w:p>
    <w:p>
      <w:pPr>
        <w:spacing w:before="60" w:after="100"/>
        <w:jc w:val="left"/>
      </w:pPr>
      <w:r>
        <w:rPr>
          <w:rFonts w:ascii="Arial" w:cs="Arial" w:eastAsia="Arial" w:hAnsi="Arial"/>
          <w:b w:val="false"/>
          <w:bCs w:val="false"/>
          <w:i w:val="false"/>
          <w:iCs w:val="false"/>
          <w:color w:val="000000"/>
          <w:sz w:val="22"/>
          <w:szCs w:val="22"/>
        </w:rPr>
        <w:t xml:space="preserve">Maryland, USA  |  Kampala, Uganda</w:t>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Executive Summary</w:t>
      </w:r>
    </w:p>
    <w:p>
      <w:pPr>
        <w:pStyle w:val="Heading2"/>
        <w:spacing w:before="280" w:after="80"/>
      </w:pPr>
      <w:r>
        <w:rPr>
          <w:rFonts w:ascii="Arial" w:cs="Arial" w:eastAsia="Arial" w:hAnsi="Arial"/>
          <w:b/>
          <w:bCs/>
          <w:color w:val="0D7377"/>
          <w:sz w:val="24"/>
          <w:szCs w:val="24"/>
        </w:rPr>
        <w:t xml:space="preserve">The Problem: Cognitive Overload at the Frontlines</w:t>
      </w:r>
    </w:p>
    <w:p>
      <w:pPr>
        <w:spacing w:before="60" w:after="100"/>
        <w:jc w:val="left"/>
      </w:pPr>
      <w:r>
        <w:rPr>
          <w:rFonts w:ascii="Arial" w:cs="Arial" w:eastAsia="Arial" w:hAnsi="Arial"/>
          <w:b w:val="false"/>
          <w:bCs w:val="false"/>
          <w:i w:val="false"/>
          <w:iCs w:val="false"/>
          <w:color w:val="000000"/>
          <w:sz w:val="22"/>
          <w:szCs w:val="22"/>
        </w:rPr>
        <w:t xml:space="preserve">Nonclinical youth mental health workers — peer supporters, school counselors, community health workers — are the first line of defense for millions of underserved young people. They face an impossible task: navigate complex, emotionally charged, high-stakes scenarios without real-time guidance, without structured decision frameworks, and without adequate institutional support.</w:t>
      </w:r>
    </w:p>
    <w:p>
      <w:pPr>
        <w:spacing w:before="60" w:after="100"/>
        <w:jc w:val="left"/>
      </w:pPr>
      <w:r>
        <w:rPr>
          <w:rFonts w:ascii="Arial" w:cs="Arial" w:eastAsia="Arial" w:hAnsi="Arial"/>
          <w:b w:val="false"/>
          <w:bCs w:val="false"/>
          <w:i w:val="false"/>
          <w:iCs w:val="false"/>
          <w:color w:val="000000"/>
          <w:sz w:val="22"/>
          <w:szCs w:val="22"/>
        </w:rPr>
        <w:t xml:space="preserve">The result is predictable: decision fatigue, burnout, and high turnover. The very workforce that mental health systems depend on to reach vulnerable youth is itself becoming a casualty of the same systemic neglect it is trying to address.</w:t>
      </w:r>
    </w:p>
    <w:p>
      <w:pPr>
        <w:spacing w:before="60" w:after="100"/>
        <w:jc w:val="left"/>
      </w:pPr>
      <w:r>
        <w:rPr>
          <w:rFonts w:ascii="Arial" w:cs="Arial" w:eastAsia="Arial" w:hAnsi="Arial"/>
          <w:b w:val="false"/>
          <w:bCs w:val="false"/>
          <w:i w:val="false"/>
          <w:iCs w:val="false"/>
          <w:color w:val="000000"/>
          <w:sz w:val="22"/>
          <w:szCs w:val="22"/>
        </w:rPr>
        <w:t xml:space="preserve">No technical solution exists today that meets these workers where they are — in a school hallway, a community center, a WhatsApp thread — and provides intelligent, structured, real-time support.</w:t>
      </w:r>
    </w:p>
    <w:p>
      <w:pPr>
        <w:pStyle w:val="Heading2"/>
        <w:spacing w:before="280" w:after="80"/>
      </w:pPr>
      <w:r>
        <w:rPr>
          <w:rFonts w:ascii="Arial" w:cs="Arial" w:eastAsia="Arial" w:hAnsi="Arial"/>
          <w:b/>
          <w:bCs/>
          <w:color w:val="0D7377"/>
          <w:sz w:val="24"/>
          <w:szCs w:val="24"/>
        </w:rPr>
        <w:t xml:space="preserve">The Solution: Ukubona Digital Twin</w:t>
      </w:r>
    </w:p>
    <w:p>
      <w:pPr>
        <w:spacing w:before="60" w:after="100"/>
        <w:jc w:val="left"/>
      </w:pPr>
      <w:r>
        <w:rPr>
          <w:rFonts w:ascii="Arial" w:cs="Arial" w:eastAsia="Arial" w:hAnsi="Arial"/>
          <w:b w:val="false"/>
          <w:bCs w:val="false"/>
          <w:i w:val="false"/>
          <w:iCs w:val="false"/>
          <w:color w:val="000000"/>
          <w:sz w:val="22"/>
          <w:szCs w:val="22"/>
        </w:rPr>
        <w:t xml:space="preserve">Ukubona LLC has built a computational decision-support infrastructure originally designed for national planning at scale. Its core architecture — a recursive pentadic engine represented by the chain T→W→v→Eig→κ (Tensor, Weight, Vector, Eigenstructure, Scalar) — allows any complex, multi-dimensional decision problem to be compressed into structured, actionable outputs.</w:t>
      </w:r>
    </w:p>
    <w:p>
      <w:pPr>
        <w:spacing w:before="60" w:after="100"/>
        <w:jc w:val="left"/>
      </w:pPr>
      <w:r>
        <w:rPr>
          <w:rFonts w:ascii="Arial" w:cs="Arial" w:eastAsia="Arial" w:hAnsi="Arial"/>
          <w:b w:val="false"/>
          <w:bCs w:val="false"/>
          <w:i w:val="false"/>
          <w:iCs w:val="false"/>
          <w:color w:val="000000"/>
          <w:sz w:val="22"/>
          <w:szCs w:val="22"/>
        </w:rPr>
        <w:t xml:space="preserve">We are deploying this infrastructure as a direct-to-worker LLM interface: an application that nonclinical mental health workers can access on their phone or laptop to receive structured, intelligent, scenario-specific guidance in real time. The worker describes what they are facing. The system applies structured decision logic. The worker receives clear, grounded, step-by-step guidance — not generic advice, but contextually calibrated support.</w:t>
      </w:r>
    </w:p>
    <w:p>
      <w:pPr>
        <w:spacing w:before="60" w:after="100"/>
        <w:jc w:val="left"/>
      </w:pPr>
      <w:r>
        <w:rPr>
          <w:rFonts w:ascii="Arial" w:cs="Arial" w:eastAsia="Arial" w:hAnsi="Arial"/>
          <w:b w:val="false"/>
          <w:bCs w:val="false"/>
          <w:i w:val="false"/>
          <w:iCs w:val="false"/>
          <w:color w:val="000000"/>
          <w:sz w:val="22"/>
          <w:szCs w:val="22"/>
        </w:rPr>
        <w:t xml:space="preserve">This is the category shift that separates Ukubona from every other workforce training solution: we do not train peer supporters. We augment their cognition at the point of care.</w:t>
      </w:r>
    </w:p>
    <w:p>
      <w:pPr>
        <w:pBdr>
          <w:bottom w:val="single" w:color="C8961E" w:sz="4" w:space="4"/>
        </w:pBdr>
        <w:spacing w:before="120" w:after="120"/>
      </w:pPr>
      <w:r>
        <w:t xml:space="preserve"/>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Theory of Change</w:t>
      </w:r>
    </w:p>
    <w:p>
      <w:pPr>
        <w:pStyle w:val="Heading2"/>
        <w:spacing w:before="280" w:after="80"/>
      </w:pPr>
      <w:r>
        <w:rPr>
          <w:rFonts w:ascii="Arial" w:cs="Arial" w:eastAsia="Arial" w:hAnsi="Arial"/>
          <w:b/>
          <w:bCs/>
          <w:color w:val="0D7377"/>
          <w:sz w:val="24"/>
          <w:szCs w:val="24"/>
        </w:rPr>
        <w:t xml:space="preserve">Inputs → Activities → Outputs → Outcomes → Impact</w:t>
      </w:r>
    </w:p>
    <w:p>
      <w:pPr>
        <w:pStyle w:val="Heading3"/>
        <w:spacing w:before="200" w:after="60"/>
      </w:pPr>
      <w:r>
        <w:rPr>
          <w:rFonts w:ascii="Arial" w:cs="Arial" w:eastAsia="Arial" w:hAnsi="Arial"/>
          <w:b/>
          <w:bCs/>
          <w:color w:val="4A4A4A"/>
          <w:sz w:val="22"/>
          <w:szCs w:val="22"/>
        </w:rPr>
        <w:t xml:space="preserve">Inputs</w:t>
      </w:r>
    </w:p>
    <w:p>
      <w:pPr>
        <w:pStyle w:val="ListParagraph"/>
        <w:numPr>
          <w:ilvl w:val="0"/>
          <w:numId w:val="2"/>
        </w:numPr>
        <w:spacing w:before="40" w:after="60"/>
      </w:pPr>
      <w:r>
        <w:rPr>
          <w:rFonts w:ascii="Arial" w:cs="Arial" w:eastAsia="Arial" w:hAnsi="Arial"/>
          <w:sz w:val="22"/>
          <w:szCs w:val="22"/>
        </w:rPr>
        <w:t xml:space="preserve">Grant funding ($250k–$500k) for development, deployment, and pilot operations</w:t>
      </w:r>
    </w:p>
    <w:p>
      <w:pPr>
        <w:pStyle w:val="ListParagraph"/>
        <w:numPr>
          <w:ilvl w:val="0"/>
          <w:numId w:val="2"/>
        </w:numPr>
        <w:spacing w:before="40" w:after="60"/>
      </w:pPr>
      <w:r>
        <w:rPr>
          <w:rFonts w:ascii="Arial" w:cs="Arial" w:eastAsia="Arial" w:hAnsi="Arial"/>
          <w:sz w:val="22"/>
          <w:szCs w:val="22"/>
        </w:rPr>
        <w:t xml:space="preserve">Ukubona LLC's existing NPA-05 computational architecture (T→W→v→Eig→κ)</w:t>
      </w:r>
    </w:p>
    <w:p>
      <w:pPr>
        <w:pStyle w:val="ListParagraph"/>
        <w:numPr>
          <w:ilvl w:val="0"/>
          <w:numId w:val="2"/>
        </w:numPr>
        <w:spacing w:before="40" w:after="60"/>
      </w:pPr>
      <w:r>
        <w:rPr>
          <w:rFonts w:ascii="Arial" w:cs="Arial" w:eastAsia="Arial" w:hAnsi="Arial"/>
          <w:sz w:val="22"/>
          <w:szCs w:val="22"/>
        </w:rPr>
        <w:t xml:space="preserve">Anthropic Claude API integration (LLM decision-support backend)</w:t>
      </w:r>
    </w:p>
    <w:p>
      <w:pPr>
        <w:pStyle w:val="ListParagraph"/>
        <w:numPr>
          <w:ilvl w:val="0"/>
          <w:numId w:val="2"/>
        </w:numPr>
        <w:spacing w:before="40" w:after="60"/>
      </w:pPr>
      <w:r>
        <w:rPr>
          <w:rFonts w:ascii="Arial" w:cs="Arial" w:eastAsia="Arial" w:hAnsi="Arial"/>
          <w:sz w:val="22"/>
          <w:szCs w:val="22"/>
        </w:rPr>
        <w:t xml:space="preserve">Partnership with a cohort organization currently employing nonclinical youth mental health workers</w:t>
      </w:r>
    </w:p>
    <w:p>
      <w:pPr>
        <w:pStyle w:val="ListParagraph"/>
        <w:numPr>
          <w:ilvl w:val="0"/>
          <w:numId w:val="2"/>
        </w:numPr>
        <w:spacing w:before="40" w:after="60"/>
      </w:pPr>
      <w:r>
        <w:rPr>
          <w:rFonts w:ascii="Arial" w:cs="Arial" w:eastAsia="Arial" w:hAnsi="Arial"/>
          <w:sz w:val="22"/>
          <w:szCs w:val="22"/>
        </w:rPr>
        <w:t xml:space="preserve">Academic advisory support for evaluation design</w:t>
      </w:r>
    </w:p>
    <w:p>
      <w:pPr>
        <w:spacing w:before="60" w:after="60"/>
      </w:pPr>
      <w:r>
        <w:t xml:space="preserve"/>
      </w:r>
    </w:p>
    <w:p>
      <w:pPr>
        <w:pStyle w:val="Heading3"/>
        <w:spacing w:before="200" w:after="60"/>
      </w:pPr>
      <w:r>
        <w:rPr>
          <w:rFonts w:ascii="Arial" w:cs="Arial" w:eastAsia="Arial" w:hAnsi="Arial"/>
          <w:b/>
          <w:bCs/>
          <w:color w:val="4A4A4A"/>
          <w:sz w:val="22"/>
          <w:szCs w:val="22"/>
        </w:rPr>
        <w:t xml:space="preserve">Activities</w:t>
      </w:r>
    </w:p>
    <w:p>
      <w:pPr>
        <w:pStyle w:val="ListParagraph"/>
        <w:numPr>
          <w:ilvl w:val="0"/>
          <w:numId w:val="2"/>
        </w:numPr>
        <w:spacing w:before="40" w:after="60"/>
      </w:pPr>
      <w:r>
        <w:rPr>
          <w:rFonts w:ascii="Arial" w:cs="Arial" w:eastAsia="Arial" w:hAnsi="Arial"/>
          <w:sz w:val="22"/>
          <w:szCs w:val="22"/>
        </w:rPr>
        <w:t xml:space="preserve">Finalize production deployment of Ukubona LLM-to-frontend pipeline</w:t>
      </w:r>
    </w:p>
    <w:p>
      <w:pPr>
        <w:pStyle w:val="ListParagraph"/>
        <w:numPr>
          <w:ilvl w:val="0"/>
          <w:numId w:val="2"/>
        </w:numPr>
        <w:spacing w:before="40" w:after="60"/>
      </w:pPr>
      <w:r>
        <w:rPr>
          <w:rFonts w:ascii="Arial" w:cs="Arial" w:eastAsia="Arial" w:hAnsi="Arial"/>
          <w:sz w:val="22"/>
          <w:szCs w:val="22"/>
        </w:rPr>
        <w:t xml:space="preserve">Optimize UI/UX specifically for nonclinical workers (low-tech-barrier, mobile-first design)</w:t>
      </w:r>
    </w:p>
    <w:p>
      <w:pPr>
        <w:pStyle w:val="ListParagraph"/>
        <w:numPr>
          <w:ilvl w:val="0"/>
          <w:numId w:val="2"/>
        </w:numPr>
        <w:spacing w:before="40" w:after="60"/>
      </w:pPr>
      <w:r>
        <w:rPr>
          <w:rFonts w:ascii="Arial" w:cs="Arial" w:eastAsia="Arial" w:hAnsi="Arial"/>
          <w:sz w:val="22"/>
          <w:szCs w:val="22"/>
        </w:rPr>
        <w:t xml:space="preserve">Onboard 50 nonclinical workers in partner organizations (pilot cohort)</w:t>
      </w:r>
    </w:p>
    <w:p>
      <w:pPr>
        <w:pStyle w:val="ListParagraph"/>
        <w:numPr>
          <w:ilvl w:val="0"/>
          <w:numId w:val="2"/>
        </w:numPr>
        <w:spacing w:before="40" w:after="60"/>
      </w:pPr>
      <w:r>
        <w:rPr>
          <w:rFonts w:ascii="Arial" w:cs="Arial" w:eastAsia="Arial" w:hAnsi="Arial"/>
          <w:sz w:val="22"/>
          <w:szCs w:val="22"/>
        </w:rPr>
        <w:t xml:space="preserve">Deliver structured training on app use and ethical AI interaction</w:t>
      </w:r>
    </w:p>
    <w:p>
      <w:pPr>
        <w:pStyle w:val="ListParagraph"/>
        <w:numPr>
          <w:ilvl w:val="0"/>
          <w:numId w:val="2"/>
        </w:numPr>
        <w:spacing w:before="40" w:after="60"/>
      </w:pPr>
      <w:r>
        <w:rPr>
          <w:rFonts w:ascii="Arial" w:cs="Arial" w:eastAsia="Arial" w:hAnsi="Arial"/>
          <w:sz w:val="22"/>
          <w:szCs w:val="22"/>
        </w:rPr>
        <w:t xml:space="preserve">Conduct monthly iterative refinement cycles based on usage data and qualitative feedback</w:t>
      </w:r>
    </w:p>
    <w:p>
      <w:pPr>
        <w:pStyle w:val="ListParagraph"/>
        <w:numPr>
          <w:ilvl w:val="0"/>
          <w:numId w:val="2"/>
        </w:numPr>
        <w:spacing w:before="40" w:after="60"/>
      </w:pPr>
      <w:r>
        <w:rPr>
          <w:rFonts w:ascii="Arial" w:cs="Arial" w:eastAsia="Arial" w:hAnsi="Arial"/>
          <w:sz w:val="22"/>
          <w:szCs w:val="22"/>
        </w:rPr>
        <w:t xml:space="preserve">Collect validated outcome measures (decision confidence, burnout, retention, youth outcomes)</w:t>
      </w:r>
    </w:p>
    <w:p>
      <w:pPr>
        <w:spacing w:before="60" w:after="60"/>
      </w:pPr>
      <w:r>
        <w:t xml:space="preserve"/>
      </w:r>
    </w:p>
    <w:p>
      <w:pPr>
        <w:pStyle w:val="Heading3"/>
        <w:spacing w:before="200" w:after="60"/>
      </w:pPr>
      <w:r>
        <w:rPr>
          <w:rFonts w:ascii="Arial" w:cs="Arial" w:eastAsia="Arial" w:hAnsi="Arial"/>
          <w:b/>
          <w:bCs/>
          <w:color w:val="4A4A4A"/>
          <w:sz w:val="22"/>
          <w:szCs w:val="22"/>
        </w:rPr>
        <w:t xml:space="preserve">Outputs</w:t>
      </w:r>
    </w:p>
    <w:p>
      <w:pPr>
        <w:pStyle w:val="ListParagraph"/>
        <w:numPr>
          <w:ilvl w:val="0"/>
          <w:numId w:val="2"/>
        </w:numPr>
        <w:spacing w:before="40" w:after="60"/>
      </w:pPr>
      <w:r>
        <w:rPr>
          <w:rFonts w:ascii="Arial" w:cs="Arial" w:eastAsia="Arial" w:hAnsi="Arial"/>
          <w:sz w:val="22"/>
          <w:szCs w:val="22"/>
        </w:rPr>
        <w:t xml:space="preserve">A production-ready, API-driven decision-support application</w:t>
      </w:r>
    </w:p>
    <w:p>
      <w:pPr>
        <w:pStyle w:val="ListParagraph"/>
        <w:numPr>
          <w:ilvl w:val="0"/>
          <w:numId w:val="2"/>
        </w:numPr>
        <w:spacing w:before="40" w:after="60"/>
      </w:pPr>
      <w:r>
        <w:rPr>
          <w:rFonts w:ascii="Arial" w:cs="Arial" w:eastAsia="Arial" w:hAnsi="Arial"/>
          <w:sz w:val="22"/>
          <w:szCs w:val="22"/>
        </w:rPr>
        <w:t xml:space="preserve">50 trained nonclinical workers actively using the system</w:t>
      </w:r>
    </w:p>
    <w:p>
      <w:pPr>
        <w:pStyle w:val="ListParagraph"/>
        <w:numPr>
          <w:ilvl w:val="0"/>
          <w:numId w:val="2"/>
        </w:numPr>
        <w:spacing w:before="40" w:after="60"/>
      </w:pPr>
      <w:r>
        <w:rPr>
          <w:rFonts w:ascii="Arial" w:cs="Arial" w:eastAsia="Arial" w:hAnsi="Arial"/>
          <w:sz w:val="22"/>
          <w:szCs w:val="22"/>
        </w:rPr>
        <w:t xml:space="preserve">Minimum 500 documented decision-support interactions over 12 months</w:t>
      </w:r>
    </w:p>
    <w:p>
      <w:pPr>
        <w:pStyle w:val="ListParagraph"/>
        <w:numPr>
          <w:ilvl w:val="0"/>
          <w:numId w:val="2"/>
        </w:numPr>
        <w:spacing w:before="40" w:after="60"/>
      </w:pPr>
      <w:r>
        <w:rPr>
          <w:rFonts w:ascii="Arial" w:cs="Arial" w:eastAsia="Arial" w:hAnsi="Arial"/>
          <w:sz w:val="22"/>
          <w:szCs w:val="22"/>
        </w:rPr>
        <w:t xml:space="preserve">A pilot evaluation report with KPI results and scale-up recommendations</w:t>
      </w:r>
    </w:p>
    <w:p>
      <w:pPr>
        <w:pStyle w:val="ListParagraph"/>
        <w:numPr>
          <w:ilvl w:val="0"/>
          <w:numId w:val="2"/>
        </w:numPr>
        <w:spacing w:before="40" w:after="60"/>
      </w:pPr>
      <w:r>
        <w:rPr>
          <w:rFonts w:ascii="Arial" w:cs="Arial" w:eastAsia="Arial" w:hAnsi="Arial"/>
          <w:sz w:val="22"/>
          <w:szCs w:val="22"/>
        </w:rPr>
        <w:t xml:space="preserve">A licensing and distribution framework for nonprofit sector adoption</w:t>
      </w:r>
    </w:p>
    <w:p>
      <w:pPr>
        <w:spacing w:before="60" w:after="60"/>
      </w:pPr>
      <w:r>
        <w:t xml:space="preserve"/>
      </w:r>
    </w:p>
    <w:p>
      <w:pPr>
        <w:pStyle w:val="Heading3"/>
        <w:spacing w:before="200" w:after="60"/>
      </w:pPr>
      <w:r>
        <w:rPr>
          <w:rFonts w:ascii="Arial" w:cs="Arial" w:eastAsia="Arial" w:hAnsi="Arial"/>
          <w:b/>
          <w:bCs/>
          <w:color w:val="4A4A4A"/>
          <w:sz w:val="22"/>
          <w:szCs w:val="22"/>
        </w:rPr>
        <w:t xml:space="preserve">Short-Term Outcomes (12 months)</w:t>
      </w:r>
    </w:p>
    <w:p>
      <w:pPr>
        <w:pStyle w:val="ListParagraph"/>
        <w:numPr>
          <w:ilvl w:val="0"/>
          <w:numId w:val="2"/>
        </w:numPr>
        <w:spacing w:before="40" w:after="60"/>
      </w:pPr>
      <w:r>
        <w:rPr>
          <w:rFonts w:ascii="Arial" w:cs="Arial" w:eastAsia="Arial" w:hAnsi="Arial"/>
          <w:sz w:val="22"/>
          <w:szCs w:val="22"/>
        </w:rPr>
        <w:t xml:space="preserve">Reduction in self-reported decision fatigue among pilot cohort (target: 30%)</w:t>
      </w:r>
    </w:p>
    <w:p>
      <w:pPr>
        <w:pStyle w:val="ListParagraph"/>
        <w:numPr>
          <w:ilvl w:val="0"/>
          <w:numId w:val="2"/>
        </w:numPr>
        <w:spacing w:before="40" w:after="60"/>
      </w:pPr>
      <w:r>
        <w:rPr>
          <w:rFonts w:ascii="Arial" w:cs="Arial" w:eastAsia="Arial" w:hAnsi="Arial"/>
          <w:sz w:val="22"/>
          <w:szCs w:val="22"/>
        </w:rPr>
        <w:t xml:space="preserve">Improvement in worker confidence scores for navigating complex youth scenarios (target: 40%)</w:t>
      </w:r>
    </w:p>
    <w:p>
      <w:pPr>
        <w:pStyle w:val="ListParagraph"/>
        <w:numPr>
          <w:ilvl w:val="0"/>
          <w:numId w:val="2"/>
        </w:numPr>
        <w:spacing w:before="40" w:after="60"/>
      </w:pPr>
      <w:r>
        <w:rPr>
          <w:rFonts w:ascii="Arial" w:cs="Arial" w:eastAsia="Arial" w:hAnsi="Arial"/>
          <w:sz w:val="22"/>
          <w:szCs w:val="22"/>
        </w:rPr>
        <w:t xml:space="preserve">Reduction in worker attrition / turnover within pilot organizations (target: 25%)</w:t>
      </w:r>
    </w:p>
    <w:p>
      <w:pPr>
        <w:pStyle w:val="ListParagraph"/>
        <w:numPr>
          <w:ilvl w:val="0"/>
          <w:numId w:val="2"/>
        </w:numPr>
        <w:spacing w:before="40" w:after="60"/>
      </w:pPr>
      <w:r>
        <w:rPr>
          <w:rFonts w:ascii="Arial" w:cs="Arial" w:eastAsia="Arial" w:hAnsi="Arial"/>
          <w:sz w:val="22"/>
          <w:szCs w:val="22"/>
        </w:rPr>
        <w:t xml:space="preserve">Increase in quality and consistency of documentation of youth interactions (target: 35%)</w:t>
      </w:r>
    </w:p>
    <w:p>
      <w:pPr>
        <w:spacing w:before="60" w:after="60"/>
      </w:pPr>
      <w:r>
        <w:t xml:space="preserve"/>
      </w:r>
    </w:p>
    <w:p>
      <w:pPr>
        <w:pStyle w:val="Heading3"/>
        <w:spacing w:before="200" w:after="60"/>
      </w:pPr>
      <w:r>
        <w:rPr>
          <w:rFonts w:ascii="Arial" w:cs="Arial" w:eastAsia="Arial" w:hAnsi="Arial"/>
          <w:b/>
          <w:bCs/>
          <w:color w:val="4A4A4A"/>
          <w:sz w:val="22"/>
          <w:szCs w:val="22"/>
        </w:rPr>
        <w:t xml:space="preserve">Long-Term Impact (3–5 years)</w:t>
      </w:r>
    </w:p>
    <w:p>
      <w:pPr>
        <w:pStyle w:val="ListParagraph"/>
        <w:numPr>
          <w:ilvl w:val="0"/>
          <w:numId w:val="2"/>
        </w:numPr>
        <w:spacing w:before="40" w:after="60"/>
      </w:pPr>
      <w:r>
        <w:rPr>
          <w:rFonts w:ascii="Arial" w:cs="Arial" w:eastAsia="Arial" w:hAnsi="Arial"/>
          <w:sz w:val="22"/>
          <w:szCs w:val="22"/>
        </w:rPr>
        <w:t xml:space="preserve">Scalable, licensable infrastructure deployed across nonclinical mental health organizations nationally and globally</w:t>
      </w:r>
    </w:p>
    <w:p>
      <w:pPr>
        <w:pStyle w:val="ListParagraph"/>
        <w:numPr>
          <w:ilvl w:val="0"/>
          <w:numId w:val="2"/>
        </w:numPr>
        <w:spacing w:before="40" w:after="60"/>
      </w:pPr>
      <w:r>
        <w:rPr>
          <w:rFonts w:ascii="Arial" w:cs="Arial" w:eastAsia="Arial" w:hAnsi="Arial"/>
          <w:sz w:val="22"/>
          <w:szCs w:val="22"/>
        </w:rPr>
        <w:t xml:space="preserve">Demonstrated reduction in burnout-driven workforce attrition, generating measurable cost savings for the sector</w:t>
      </w:r>
    </w:p>
    <w:p>
      <w:pPr>
        <w:pStyle w:val="ListParagraph"/>
        <w:numPr>
          <w:ilvl w:val="0"/>
          <w:numId w:val="2"/>
        </w:numPr>
        <w:spacing w:before="40" w:after="60"/>
      </w:pPr>
      <w:r>
        <w:rPr>
          <w:rFonts w:ascii="Arial" w:cs="Arial" w:eastAsia="Arial" w:hAnsi="Arial"/>
          <w:sz w:val="22"/>
          <w:szCs w:val="22"/>
        </w:rPr>
        <w:t xml:space="preserve">Expanded access to structured mental health support for underserved youth who would otherwise receive no evidence-based intervention</w:t>
      </w:r>
    </w:p>
    <w:p>
      <w:pPr>
        <w:pStyle w:val="ListParagraph"/>
        <w:numPr>
          <w:ilvl w:val="0"/>
          <w:numId w:val="2"/>
        </w:numPr>
        <w:spacing w:before="40" w:after="60"/>
      </w:pPr>
      <w:r>
        <w:rPr>
          <w:rFonts w:ascii="Arial" w:cs="Arial" w:eastAsia="Arial" w:hAnsi="Arial"/>
          <w:sz w:val="22"/>
          <w:szCs w:val="22"/>
        </w:rPr>
        <w:t xml:space="preserve">A replicable model for AI-augmented community health work applicable to adolescent sexual health, substance use, and crisis intervention domains</w:t>
      </w:r>
    </w:p>
    <w:p>
      <w:pPr>
        <w:pBdr>
          <w:bottom w:val="single" w:color="C8961E" w:sz="4" w:space="4"/>
        </w:pBdr>
        <w:spacing w:before="120" w:after="120"/>
      </w:pPr>
      <w:r>
        <w:t xml:space="preserve"/>
      </w:r>
    </w:p>
    <w:p>
      <w:pPr>
        <w:spacing w:before="60" w:after="100"/>
        <w:jc w:val="left"/>
      </w:pPr>
      <w:r>
        <w:rPr>
          <w:rFonts w:ascii="Arial" w:cs="Arial" w:eastAsia="Arial" w:hAnsi="Arial"/>
          <w:b w:val="false"/>
          <w:bCs w:val="false"/>
          <w:i/>
          <w:iCs/>
          <w:color w:val="000000"/>
          <w:sz w:val="22"/>
          <w:szCs w:val="22"/>
        </w:rPr>
        <w:t xml:space="preserve">The core causal logic is this: when nonclinical workers receive real-time, structured cognitive support, their capacity to deliver effective, consistent care increases — and their likelihood of staying in the role increases. The youth they serve benefit from higher-quality, more consistent intervention. The organizations they work for retain trained staff rather than cycling through expensive turnover. The system scales because the infrastructure, once built, requires only marginal cost to serve additional workers and organizations.</w:t>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Mapping to Rare Impact Fund Pillars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Grant Pillar</w:t>
            </w:r>
          </w:p>
        </w:tc>
        <w:tc>
          <w:tcPr>
            <w:tcW w:type="dxa" w:w="28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Gap</w:t>
            </w:r>
          </w:p>
        </w:tc>
        <w:tc>
          <w:tcPr>
            <w:tcW w:type="dxa" w:w="43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Ukubona 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Training &amp; Professional Development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Static one-time training modules</w:t>
            </w:r>
          </w:p>
          <w:p>
            <w:pPr>
              <w:spacing w:after="40"/>
            </w:pPr>
            <w:r>
              <w:rPr>
                <w:rFonts w:ascii="Arial" w:cs="Arial" w:eastAsia="Arial" w:hAnsi="Arial"/>
                <w:sz w:val="20"/>
                <w:szCs w:val="20"/>
              </w:rPr>
              <w:t xml:space="preserve">Leave workers without real-time guidance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Ukubona digital twin acts as an always-on mentor.</w:t>
            </w:r>
          </w:p>
          <w:p>
            <w:pPr>
              <w:spacing w:after="40"/>
            </w:pPr>
            <w:r>
              <w:rPr>
                <w:rFonts w:ascii="Arial" w:cs="Arial" w:eastAsia="Arial" w:hAnsi="Arial"/>
                <w:sz w:val="20"/>
                <w:szCs w:val="20"/>
              </w:rPr>
              <w:t xml:space="preserve">Peer supporters role-play complex youth scenarios through the LLM interface, receiving structured feedback before real-world application.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20"/>
                <w:szCs w:val="20"/>
              </w:rPr>
              <w:t xml:space="preserve">Workforce Retention &amp; Sustainability</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20"/>
                <w:szCs w:val="20"/>
              </w:rPr>
              <w:t xml:space="preserve">Decision fatigue and cognitive overload</w:t>
            </w:r>
          </w:p>
          <w:p>
            <w:pPr>
              <w:spacing w:after="40"/>
            </w:pPr>
            <w:r>
              <w:rPr>
                <w:rFonts w:ascii="Arial" w:cs="Arial" w:eastAsia="Arial" w:hAnsi="Arial"/>
                <w:sz w:val="20"/>
                <w:szCs w:val="20"/>
              </w:rPr>
              <w:t xml:space="preserve">driving high nonclinical worker turnover</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20"/>
                <w:szCs w:val="20"/>
              </w:rPr>
              <w:t xml:space="preserve">The Ukubona API absorbs analytical heavy lifting.</w:t>
            </w:r>
          </w:p>
          <w:p>
            <w:pPr>
              <w:spacing w:after="40"/>
            </w:pPr>
            <w:r>
              <w:rPr>
                <w:rFonts w:ascii="Arial" w:cs="Arial" w:eastAsia="Arial" w:hAnsi="Arial"/>
                <w:sz w:val="20"/>
                <w:szCs w:val="20"/>
              </w:rPr>
              <w:t xml:space="preserve">Structured decision-support at point of care reduces emotional burden, directly improving retention.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Expanding Access to Vulnerable Youth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Clinical infrastructure cannot scale</w:t>
            </w:r>
          </w:p>
          <w:p>
            <w:pPr>
              <w:spacing w:after="40"/>
            </w:pPr>
            <w:r>
              <w:rPr>
                <w:rFonts w:ascii="Arial" w:cs="Arial" w:eastAsia="Arial" w:hAnsi="Arial"/>
                <w:sz w:val="20"/>
                <w:szCs w:val="20"/>
              </w:rPr>
              <w:t xml:space="preserve">to reach underserved communities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Empowering community workers with high-tier AI scaffolding ensures underserved youth receive nuanced support in their own communities.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20"/>
                <w:szCs w:val="20"/>
              </w:rPr>
              <w:t xml:space="preserve">Evidence-Based Program Design</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20"/>
                <w:szCs w:val="20"/>
              </w:rPr>
              <w:t xml:space="preserve">Grant reviewers lack assurance that AI tools</w:t>
            </w:r>
          </w:p>
          <w:p>
            <w:pPr>
              <w:spacing w:after="40"/>
            </w:pPr>
            <w:r>
              <w:rPr>
                <w:rFonts w:ascii="Arial" w:cs="Arial" w:eastAsia="Arial" w:hAnsi="Arial"/>
                <w:sz w:val="20"/>
                <w:szCs w:val="20"/>
              </w:rPr>
              <w:t xml:space="preserve">are grounded in rigorous methodology</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20"/>
                <w:szCs w:val="20"/>
              </w:rPr>
              <w:t xml:space="preserve">The recursive pentadic engine (T→W→v→Eig→κ) provides the logical backbone — structured, iterative, and auditable. Not a chatbot wrapper.</w:t>
            </w:r>
          </w:p>
        </w:tc>
      </w:tr>
    </w:tbl>
    <w:p>
      <w:pPr>
        <w:spacing w:before="60" w:after="60"/>
      </w:pPr>
      <w:r>
        <w:t xml:space="preserve"/>
      </w:r>
    </w:p>
    <w:p>
      <w:pPr>
        <w:spacing w:before="60" w:after="60"/>
      </w:pPr>
      <w:r>
        <w:t xml:space="preserve"/>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Pilot Program Design</w:t>
      </w:r>
    </w:p>
    <w:p>
      <w:pPr>
        <w:pStyle w:val="Heading2"/>
        <w:spacing w:before="280" w:after="80"/>
      </w:pPr>
      <w:r>
        <w:rPr>
          <w:rFonts w:ascii="Arial" w:cs="Arial" w:eastAsia="Arial" w:hAnsi="Arial"/>
          <w:b/>
          <w:bCs/>
          <w:color w:val="0D7377"/>
          <w:sz w:val="24"/>
          <w:szCs w:val="24"/>
        </w:rPr>
        <w:t xml:space="preserve">Phase 1: Deployment &amp; Onboarding (Months 1–3)</w:t>
      </w:r>
    </w:p>
    <w:p>
      <w:pPr>
        <w:pStyle w:val="Heading3"/>
        <w:spacing w:before="200" w:after="60"/>
      </w:pPr>
      <w:r>
        <w:rPr>
          <w:rFonts w:ascii="Arial" w:cs="Arial" w:eastAsia="Arial" w:hAnsi="Arial"/>
          <w:b/>
          <w:bCs/>
          <w:color w:val="4A4A4A"/>
          <w:sz w:val="22"/>
          <w:szCs w:val="22"/>
        </w:rPr>
        <w:t xml:space="preserve">Cohort Selection</w:t>
      </w:r>
    </w:p>
    <w:p>
      <w:pPr>
        <w:spacing w:before="60" w:after="100"/>
        <w:jc w:val="left"/>
      </w:pPr>
      <w:r>
        <w:rPr>
          <w:rFonts w:ascii="Arial" w:cs="Arial" w:eastAsia="Arial" w:hAnsi="Arial"/>
          <w:b w:val="false"/>
          <w:bCs w:val="false"/>
          <w:i w:val="false"/>
          <w:iCs w:val="false"/>
          <w:color w:val="000000"/>
          <w:sz w:val="22"/>
          <w:szCs w:val="22"/>
        </w:rPr>
        <w:t xml:space="preserve">Partner with one to two organizations currently employing nonclinical youth mental health workers (peer supporters, school-based mentors, or community health workers). Target cohort: 50 workers across at least two sites, with demographic and geographic diversity.</w:t>
      </w:r>
    </w:p>
    <w:p>
      <w:pPr>
        <w:pStyle w:val="Heading3"/>
        <w:spacing w:before="200" w:after="60"/>
      </w:pPr>
      <w:r>
        <w:rPr>
          <w:rFonts w:ascii="Arial" w:cs="Arial" w:eastAsia="Arial" w:hAnsi="Arial"/>
          <w:b/>
          <w:bCs/>
          <w:color w:val="4A4A4A"/>
          <w:sz w:val="22"/>
          <w:szCs w:val="22"/>
        </w:rPr>
        <w:t xml:space="preserve">Technical Deployment</w:t>
      </w:r>
    </w:p>
    <w:p>
      <w:pPr>
        <w:pStyle w:val="ListParagraph"/>
        <w:numPr>
          <w:ilvl w:val="0"/>
          <w:numId w:val="2"/>
        </w:numPr>
        <w:spacing w:before="40" w:after="60"/>
      </w:pPr>
      <w:r>
        <w:rPr>
          <w:rFonts w:ascii="Arial" w:cs="Arial" w:eastAsia="Arial" w:hAnsi="Arial"/>
          <w:sz w:val="22"/>
          <w:szCs w:val="22"/>
        </w:rPr>
        <w:t xml:space="preserve">Finalize LLM API integration and production infrastructure</w:t>
      </w:r>
    </w:p>
    <w:p>
      <w:pPr>
        <w:pStyle w:val="ListParagraph"/>
        <w:numPr>
          <w:ilvl w:val="0"/>
          <w:numId w:val="2"/>
        </w:numPr>
        <w:spacing w:before="40" w:after="60"/>
      </w:pPr>
      <w:r>
        <w:rPr>
          <w:rFonts w:ascii="Arial" w:cs="Arial" w:eastAsia="Arial" w:hAnsi="Arial"/>
          <w:sz w:val="22"/>
          <w:szCs w:val="22"/>
        </w:rPr>
        <w:t xml:space="preserve">Conduct security review and data governance audit</w:t>
      </w:r>
    </w:p>
    <w:p>
      <w:pPr>
        <w:pStyle w:val="ListParagraph"/>
        <w:numPr>
          <w:ilvl w:val="0"/>
          <w:numId w:val="2"/>
        </w:numPr>
        <w:spacing w:before="40" w:after="60"/>
      </w:pPr>
      <w:r>
        <w:rPr>
          <w:rFonts w:ascii="Arial" w:cs="Arial" w:eastAsia="Arial" w:hAnsi="Arial"/>
          <w:sz w:val="22"/>
          <w:szCs w:val="22"/>
        </w:rPr>
        <w:t xml:space="preserve">Build mobile-optimized, low-bandwidth-compatible frontend</w:t>
      </w:r>
    </w:p>
    <w:p>
      <w:pPr>
        <w:pStyle w:val="ListParagraph"/>
        <w:numPr>
          <w:ilvl w:val="0"/>
          <w:numId w:val="2"/>
        </w:numPr>
        <w:spacing w:before="40" w:after="60"/>
      </w:pPr>
      <w:r>
        <w:rPr>
          <w:rFonts w:ascii="Arial" w:cs="Arial" w:eastAsia="Arial" w:hAnsi="Arial"/>
          <w:sz w:val="22"/>
          <w:szCs w:val="22"/>
        </w:rPr>
        <w:t xml:space="preserve">Establish baseline measurements for all KPIs (decision confidence, burnout indices, retention rates, documentation quality)</w:t>
      </w:r>
    </w:p>
    <w:p>
      <w:pPr>
        <w:pStyle w:val="Heading3"/>
        <w:spacing w:before="200" w:after="60"/>
      </w:pPr>
      <w:r>
        <w:rPr>
          <w:rFonts w:ascii="Arial" w:cs="Arial" w:eastAsia="Arial" w:hAnsi="Arial"/>
          <w:b/>
          <w:bCs/>
          <w:color w:val="4A4A4A"/>
          <w:sz w:val="22"/>
          <w:szCs w:val="22"/>
        </w:rPr>
        <w:t xml:space="preserve">Training Protocol</w:t>
      </w:r>
    </w:p>
    <w:p>
      <w:pPr>
        <w:pStyle w:val="ListParagraph"/>
        <w:numPr>
          <w:ilvl w:val="0"/>
          <w:numId w:val="2"/>
        </w:numPr>
        <w:spacing w:before="40" w:after="60"/>
      </w:pPr>
      <w:r>
        <w:rPr>
          <w:rFonts w:ascii="Arial" w:cs="Arial" w:eastAsia="Arial" w:hAnsi="Arial"/>
          <w:sz w:val="22"/>
          <w:szCs w:val="22"/>
        </w:rPr>
        <w:t xml:space="preserve">2-day in-person or virtual onboarding per site: app use, ethical AI interaction, scenario navigation</w:t>
      </w:r>
    </w:p>
    <w:p>
      <w:pPr>
        <w:pStyle w:val="ListParagraph"/>
        <w:numPr>
          <w:ilvl w:val="0"/>
          <w:numId w:val="2"/>
        </w:numPr>
        <w:spacing w:before="40" w:after="60"/>
      </w:pPr>
      <w:r>
        <w:rPr>
          <w:rFonts w:ascii="Arial" w:cs="Arial" w:eastAsia="Arial" w:hAnsi="Arial"/>
          <w:sz w:val="22"/>
          <w:szCs w:val="22"/>
        </w:rPr>
        <w:t xml:space="preserve">Weekly check-in calls during Month 1 to surface friction and iterate on UI</w:t>
      </w:r>
    </w:p>
    <w:p>
      <w:pPr>
        <w:pStyle w:val="ListParagraph"/>
        <w:numPr>
          <w:ilvl w:val="0"/>
          <w:numId w:val="2"/>
        </w:numPr>
        <w:spacing w:before="40" w:after="60"/>
      </w:pPr>
      <w:r>
        <w:rPr>
          <w:rFonts w:ascii="Arial" w:cs="Arial" w:eastAsia="Arial" w:hAnsi="Arial"/>
          <w:sz w:val="22"/>
          <w:szCs w:val="22"/>
        </w:rPr>
        <w:t xml:space="preserve">Peer champion model: identify 2–3 power users per site to support adoption</w:t>
      </w:r>
    </w:p>
    <w:p>
      <w:pPr>
        <w:spacing w:before="60" w:after="60"/>
      </w:pPr>
      <w:r>
        <w:t xml:space="preserve"/>
      </w:r>
    </w:p>
    <w:p>
      <w:pPr>
        <w:pStyle w:val="Heading2"/>
        <w:spacing w:before="280" w:after="80"/>
      </w:pPr>
      <w:r>
        <w:rPr>
          <w:rFonts w:ascii="Arial" w:cs="Arial" w:eastAsia="Arial" w:hAnsi="Arial"/>
          <w:b/>
          <w:bCs/>
          <w:color w:val="0D7377"/>
          <w:sz w:val="24"/>
          <w:szCs w:val="24"/>
        </w:rPr>
        <w:t xml:space="preserve">Phase 2: Active Use &amp; Iteration (Months 4–9)</w:t>
      </w:r>
    </w:p>
    <w:p>
      <w:pPr>
        <w:pStyle w:val="Heading3"/>
        <w:spacing w:before="200" w:after="60"/>
      </w:pPr>
      <w:r>
        <w:rPr>
          <w:rFonts w:ascii="Arial" w:cs="Arial" w:eastAsia="Arial" w:hAnsi="Arial"/>
          <w:b/>
          <w:bCs/>
          <w:color w:val="4A4A4A"/>
          <w:sz w:val="22"/>
          <w:szCs w:val="22"/>
        </w:rPr>
        <w:t xml:space="preserve">Usage</w:t>
      </w:r>
    </w:p>
    <w:p>
      <w:pPr>
        <w:pStyle w:val="ListParagraph"/>
        <w:numPr>
          <w:ilvl w:val="0"/>
          <w:numId w:val="2"/>
        </w:numPr>
        <w:spacing w:before="40" w:after="60"/>
      </w:pPr>
      <w:r>
        <w:rPr>
          <w:rFonts w:ascii="Arial" w:cs="Arial" w:eastAsia="Arial" w:hAnsi="Arial"/>
          <w:sz w:val="22"/>
          <w:szCs w:val="22"/>
        </w:rPr>
        <w:t xml:space="preserve">Workers use the Ukubona app to seek decision support for real-world youth scenarios</w:t>
      </w:r>
    </w:p>
    <w:p>
      <w:pPr>
        <w:pStyle w:val="ListParagraph"/>
        <w:numPr>
          <w:ilvl w:val="0"/>
          <w:numId w:val="2"/>
        </w:numPr>
        <w:spacing w:before="40" w:after="60"/>
      </w:pPr>
      <w:r>
        <w:rPr>
          <w:rFonts w:ascii="Arial" w:cs="Arial" w:eastAsia="Arial" w:hAnsi="Arial"/>
          <w:sz w:val="22"/>
          <w:szCs w:val="22"/>
        </w:rPr>
        <w:t xml:space="preserve">All interactions are logged (anonymized) for usage analytics and model improvement</w:t>
      </w:r>
    </w:p>
    <w:p>
      <w:pPr>
        <w:pStyle w:val="ListParagraph"/>
        <w:numPr>
          <w:ilvl w:val="0"/>
          <w:numId w:val="2"/>
        </w:numPr>
        <w:spacing w:before="40" w:after="60"/>
      </w:pPr>
      <w:r>
        <w:rPr>
          <w:rFonts w:ascii="Arial" w:cs="Arial" w:eastAsia="Arial" w:hAnsi="Arial"/>
          <w:sz w:val="22"/>
          <w:szCs w:val="22"/>
        </w:rPr>
        <w:t xml:space="preserve">Monthly app updates based on worker feedback and interaction analysis</w:t>
      </w:r>
    </w:p>
    <w:p>
      <w:pPr>
        <w:pStyle w:val="Heading3"/>
        <w:spacing w:before="200" w:after="60"/>
      </w:pPr>
      <w:r>
        <w:rPr>
          <w:rFonts w:ascii="Arial" w:cs="Arial" w:eastAsia="Arial" w:hAnsi="Arial"/>
          <w:b/>
          <w:bCs/>
          <w:color w:val="4A4A4A"/>
          <w:sz w:val="22"/>
          <w:szCs w:val="22"/>
        </w:rPr>
        <w:t xml:space="preserve">Qualitative Data Collection</w:t>
      </w:r>
    </w:p>
    <w:p>
      <w:pPr>
        <w:pStyle w:val="ListParagraph"/>
        <w:numPr>
          <w:ilvl w:val="0"/>
          <w:numId w:val="2"/>
        </w:numPr>
        <w:spacing w:before="40" w:after="60"/>
      </w:pPr>
      <w:r>
        <w:rPr>
          <w:rFonts w:ascii="Arial" w:cs="Arial" w:eastAsia="Arial" w:hAnsi="Arial"/>
          <w:sz w:val="22"/>
          <w:szCs w:val="22"/>
        </w:rPr>
        <w:t xml:space="preserve">Monthly structured interviews with 10 workers (rotating sample)</w:t>
      </w:r>
    </w:p>
    <w:p>
      <w:pPr>
        <w:pStyle w:val="ListParagraph"/>
        <w:numPr>
          <w:ilvl w:val="0"/>
          <w:numId w:val="2"/>
        </w:numPr>
        <w:spacing w:before="40" w:after="60"/>
      </w:pPr>
      <w:r>
        <w:rPr>
          <w:rFonts w:ascii="Arial" w:cs="Arial" w:eastAsia="Arial" w:hAnsi="Arial"/>
          <w:sz w:val="22"/>
          <w:szCs w:val="22"/>
        </w:rPr>
        <w:t xml:space="preserve">Quarterly focus groups with site supervisors</w:t>
      </w:r>
    </w:p>
    <w:p>
      <w:pPr>
        <w:pStyle w:val="ListParagraph"/>
        <w:numPr>
          <w:ilvl w:val="0"/>
          <w:numId w:val="2"/>
        </w:numPr>
        <w:spacing w:before="40" w:after="60"/>
      </w:pPr>
      <w:r>
        <w:rPr>
          <w:rFonts w:ascii="Arial" w:cs="Arial" w:eastAsia="Arial" w:hAnsi="Arial"/>
          <w:sz w:val="22"/>
          <w:szCs w:val="22"/>
        </w:rPr>
        <w:t xml:space="preserve">Case study documentation: 3 in-depth worker case studies</w:t>
      </w:r>
    </w:p>
    <w:p>
      <w:pPr>
        <w:pStyle w:val="Heading3"/>
        <w:spacing w:before="200" w:after="60"/>
      </w:pPr>
      <w:r>
        <w:rPr>
          <w:rFonts w:ascii="Arial" w:cs="Arial" w:eastAsia="Arial" w:hAnsi="Arial"/>
          <w:b/>
          <w:bCs/>
          <w:color w:val="4A4A4A"/>
          <w:sz w:val="22"/>
          <w:szCs w:val="22"/>
        </w:rPr>
        <w:t xml:space="preserve">Mid-Point Evaluation (Month 6)</w:t>
      </w:r>
    </w:p>
    <w:p>
      <w:pPr>
        <w:pStyle w:val="ListParagraph"/>
        <w:numPr>
          <w:ilvl w:val="0"/>
          <w:numId w:val="2"/>
        </w:numPr>
        <w:spacing w:before="40" w:after="60"/>
      </w:pPr>
      <w:r>
        <w:rPr>
          <w:rFonts w:ascii="Arial" w:cs="Arial" w:eastAsia="Arial" w:hAnsi="Arial"/>
          <w:sz w:val="22"/>
          <w:szCs w:val="22"/>
        </w:rPr>
        <w:t xml:space="preserve">Full KPI data pull and analysis</w:t>
      </w:r>
    </w:p>
    <w:p>
      <w:pPr>
        <w:pStyle w:val="ListParagraph"/>
        <w:numPr>
          <w:ilvl w:val="0"/>
          <w:numId w:val="2"/>
        </w:numPr>
        <w:spacing w:before="40" w:after="60"/>
      </w:pPr>
      <w:r>
        <w:rPr>
          <w:rFonts w:ascii="Arial" w:cs="Arial" w:eastAsia="Arial" w:hAnsi="Arial"/>
          <w:sz w:val="22"/>
          <w:szCs w:val="22"/>
        </w:rPr>
        <w:t xml:space="preserve">Interim report to funder with go/no-go and adjustment recommendations</w:t>
      </w:r>
    </w:p>
    <w:p>
      <w:pPr>
        <w:pStyle w:val="ListParagraph"/>
        <w:numPr>
          <w:ilvl w:val="0"/>
          <w:numId w:val="2"/>
        </w:numPr>
        <w:spacing w:before="40" w:after="60"/>
      </w:pPr>
      <w:r>
        <w:rPr>
          <w:rFonts w:ascii="Arial" w:cs="Arial" w:eastAsia="Arial" w:hAnsi="Arial"/>
          <w:sz w:val="22"/>
          <w:szCs w:val="22"/>
        </w:rPr>
        <w:t xml:space="preserve">Open dissemination of interim findings to peer organizations</w:t>
      </w:r>
    </w:p>
    <w:p>
      <w:pPr>
        <w:spacing w:before="60" w:after="60"/>
      </w:pPr>
      <w:r>
        <w:t xml:space="preserve"/>
      </w:r>
    </w:p>
    <w:p>
      <w:pPr>
        <w:pStyle w:val="Heading2"/>
        <w:spacing w:before="280" w:after="80"/>
      </w:pPr>
      <w:r>
        <w:rPr>
          <w:rFonts w:ascii="Arial" w:cs="Arial" w:eastAsia="Arial" w:hAnsi="Arial"/>
          <w:b/>
          <w:bCs/>
          <w:color w:val="0D7377"/>
          <w:sz w:val="24"/>
          <w:szCs w:val="24"/>
        </w:rPr>
        <w:t xml:space="preserve">Phase 3: Evaluation &amp; Scale Planning (Months 10–12)</w:t>
      </w:r>
    </w:p>
    <w:p>
      <w:pPr>
        <w:pStyle w:val="Heading3"/>
        <w:spacing w:before="200" w:after="60"/>
      </w:pPr>
      <w:r>
        <w:rPr>
          <w:rFonts w:ascii="Arial" w:cs="Arial" w:eastAsia="Arial" w:hAnsi="Arial"/>
          <w:b/>
          <w:bCs/>
          <w:color w:val="4A4A4A"/>
          <w:sz w:val="22"/>
          <w:szCs w:val="22"/>
        </w:rPr>
        <w:t xml:space="preserve">Summative Evaluation</w:t>
      </w:r>
    </w:p>
    <w:p>
      <w:pPr>
        <w:pStyle w:val="ListParagraph"/>
        <w:numPr>
          <w:ilvl w:val="0"/>
          <w:numId w:val="2"/>
        </w:numPr>
        <w:spacing w:before="40" w:after="60"/>
      </w:pPr>
      <w:r>
        <w:rPr>
          <w:rFonts w:ascii="Arial" w:cs="Arial" w:eastAsia="Arial" w:hAnsi="Arial"/>
          <w:sz w:val="22"/>
          <w:szCs w:val="22"/>
        </w:rPr>
        <w:t xml:space="preserve">Full quantitative analysis of all KPI outcomes vs. baseline</w:t>
      </w:r>
    </w:p>
    <w:p>
      <w:pPr>
        <w:pStyle w:val="ListParagraph"/>
        <w:numPr>
          <w:ilvl w:val="0"/>
          <w:numId w:val="2"/>
        </w:numPr>
        <w:spacing w:before="40" w:after="60"/>
      </w:pPr>
      <w:r>
        <w:rPr>
          <w:rFonts w:ascii="Arial" w:cs="Arial" w:eastAsia="Arial" w:hAnsi="Arial"/>
          <w:sz w:val="22"/>
          <w:szCs w:val="22"/>
        </w:rPr>
        <w:t xml:space="preserve">Independent review of evaluation data by academic partner</w:t>
      </w:r>
    </w:p>
    <w:p>
      <w:pPr>
        <w:pStyle w:val="ListParagraph"/>
        <w:numPr>
          <w:ilvl w:val="0"/>
          <w:numId w:val="2"/>
        </w:numPr>
        <w:spacing w:before="40" w:after="60"/>
      </w:pPr>
      <w:r>
        <w:rPr>
          <w:rFonts w:ascii="Arial" w:cs="Arial" w:eastAsia="Arial" w:hAnsi="Arial"/>
          <w:sz w:val="22"/>
          <w:szCs w:val="22"/>
        </w:rPr>
        <w:t xml:space="preserve">Worker and supervisor satisfaction survey (NPS-style plus qualitative)</w:t>
      </w:r>
    </w:p>
    <w:p>
      <w:pPr>
        <w:pStyle w:val="ListParagraph"/>
        <w:numPr>
          <w:ilvl w:val="0"/>
          <w:numId w:val="2"/>
        </w:numPr>
        <w:spacing w:before="40" w:after="60"/>
      </w:pPr>
      <w:r>
        <w:rPr>
          <w:rFonts w:ascii="Arial" w:cs="Arial" w:eastAsia="Arial" w:hAnsi="Arial"/>
          <w:sz w:val="22"/>
          <w:szCs w:val="22"/>
        </w:rPr>
        <w:t xml:space="preserve">Youth outcome proxy measures (documentation quality, escalation rates, follow-through rates)</w:t>
      </w:r>
    </w:p>
    <w:p>
      <w:pPr>
        <w:pStyle w:val="Heading3"/>
        <w:spacing w:before="200" w:after="60"/>
      </w:pPr>
      <w:r>
        <w:rPr>
          <w:rFonts w:ascii="Arial" w:cs="Arial" w:eastAsia="Arial" w:hAnsi="Arial"/>
          <w:b/>
          <w:bCs/>
          <w:color w:val="4A4A4A"/>
          <w:sz w:val="22"/>
          <w:szCs w:val="22"/>
        </w:rPr>
        <w:t xml:space="preserve">Scale-Up Framework</w:t>
      </w:r>
    </w:p>
    <w:p>
      <w:pPr>
        <w:pStyle w:val="ListParagraph"/>
        <w:numPr>
          <w:ilvl w:val="0"/>
          <w:numId w:val="2"/>
        </w:numPr>
        <w:spacing w:before="40" w:after="60"/>
      </w:pPr>
      <w:r>
        <w:rPr>
          <w:rFonts w:ascii="Arial" w:cs="Arial" w:eastAsia="Arial" w:hAnsi="Arial"/>
          <w:sz w:val="22"/>
          <w:szCs w:val="22"/>
        </w:rPr>
        <w:t xml:space="preserve">Develop licensing model for nonprofit and public sector deployment</w:t>
      </w:r>
    </w:p>
    <w:p>
      <w:pPr>
        <w:pStyle w:val="ListParagraph"/>
        <w:numPr>
          <w:ilvl w:val="0"/>
          <w:numId w:val="2"/>
        </w:numPr>
        <w:spacing w:before="40" w:after="60"/>
      </w:pPr>
      <w:r>
        <w:rPr>
          <w:rFonts w:ascii="Arial" w:cs="Arial" w:eastAsia="Arial" w:hAnsi="Arial"/>
          <w:sz w:val="22"/>
          <w:szCs w:val="22"/>
        </w:rPr>
        <w:t xml:space="preserve">Publish open evaluation report with methodology, findings, and replication guidance</w:t>
      </w:r>
    </w:p>
    <w:p>
      <w:pPr>
        <w:pStyle w:val="ListParagraph"/>
        <w:numPr>
          <w:ilvl w:val="0"/>
          <w:numId w:val="2"/>
        </w:numPr>
        <w:spacing w:before="40" w:after="60"/>
      </w:pPr>
      <w:r>
        <w:rPr>
          <w:rFonts w:ascii="Arial" w:cs="Arial" w:eastAsia="Arial" w:hAnsi="Arial"/>
          <w:sz w:val="22"/>
          <w:szCs w:val="22"/>
        </w:rPr>
        <w:t xml:space="preserve">Identify 5 prospective organizational partners for Year 2 expansion</w:t>
      </w:r>
    </w:p>
    <w:p>
      <w:pPr>
        <w:pStyle w:val="ListParagraph"/>
        <w:numPr>
          <w:ilvl w:val="0"/>
          <w:numId w:val="2"/>
        </w:numPr>
        <w:spacing w:before="40" w:after="60"/>
      </w:pPr>
      <w:r>
        <w:rPr>
          <w:rFonts w:ascii="Arial" w:cs="Arial" w:eastAsia="Arial" w:hAnsi="Arial"/>
          <w:sz w:val="22"/>
          <w:szCs w:val="22"/>
        </w:rPr>
        <w:t xml:space="preserve">Submit follow-on funding applications based on pilot evidence</w:t>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Evaluation Framework</w:t>
      </w:r>
    </w:p>
    <w:p>
      <w:pPr>
        <w:pStyle w:val="Heading2"/>
        <w:spacing w:before="280" w:after="80"/>
      </w:pPr>
      <w:r>
        <w:rPr>
          <w:rFonts w:ascii="Arial" w:cs="Arial" w:eastAsia="Arial" w:hAnsi="Arial"/>
          <w:b/>
          <w:bCs/>
          <w:color w:val="0D7377"/>
          <w:sz w:val="24"/>
          <w:szCs w:val="24"/>
        </w:rPr>
        <w:t xml:space="preserve">KPI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30"/>
        <w:gridCol w:w="1830"/>
      </w:tblGrid>
      <w:tr>
        <w:trPr>
          <w:tblHeader/>
        </w:trPr>
        <w:tc>
          <w:tcPr>
            <w:tcW w:type="dxa" w:w="35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KPI / Outcome</w:t>
            </w:r>
          </w:p>
        </w:tc>
        <w:tc>
          <w:tcPr>
            <w:tcW w:type="dxa" w:w="2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3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183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12-Month Target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Worker Decision Confidence Score (validated scale, 1–10)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survey</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7.0 mean</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8.0 mean</w:t>
            </w:r>
          </w:p>
        </w:tc>
      </w:tr>
      <w:tr>
        <w:tc>
          <w:tcPr>
            <w:tcW w:type="dxa" w:w="3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Worker Burnout Index (Maslach sub-scale)</w:t>
            </w:r>
          </w:p>
        </w:tc>
        <w:tc>
          <w:tcPr>
            <w:tcW w:type="dxa" w:w="2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Baseline survey</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15% reduction</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30% reduction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Worker Retention Rate (% still employed)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baseline</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 retention</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85% retention (12-month)</w:t>
            </w:r>
          </w:p>
        </w:tc>
      </w:tr>
      <w:tr>
        <w:tc>
          <w:tcPr>
            <w:tcW w:type="dxa" w:w="3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App Interaction Volume (sessions per worker per month)</w:t>
            </w:r>
          </w:p>
        </w:tc>
        <w:tc>
          <w:tcPr>
            <w:tcW w:type="dxa" w:w="2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0 (pre-launch)</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 8 sessions</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 12 sessions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Documentation Quality Score (supervisor-rated rubric)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audit</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improvement</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 improvement</w:t>
            </w:r>
          </w:p>
        </w:tc>
      </w:tr>
      <w:tr>
        <w:tc>
          <w:tcPr>
            <w:tcW w:type="dxa" w:w="3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Youth Escalation Accuracy (% appropriate referrals)</w:t>
            </w:r>
          </w:p>
        </w:tc>
        <w:tc>
          <w:tcPr>
            <w:tcW w:type="dxa" w:w="2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Baseline chart review</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15% improvement</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30% improvement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Worker NPS (Net Promoter Score for app utility)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40</w:t>
            </w:r>
          </w:p>
        </w:tc>
        <w:tc>
          <w:tcPr>
            <w:tcW w:type="dxa" w:w="18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55</w:t>
            </w:r>
          </w:p>
        </w:tc>
      </w:tr>
      <w:tr>
        <w:tc>
          <w:tcPr>
            <w:tcW w:type="dxa" w:w="35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Organizational Adoption Rate (sites renewing post-pilot)</w:t>
            </w:r>
          </w:p>
        </w:tc>
        <w:tc>
          <w:tcPr>
            <w:tcW w:type="dxa" w:w="220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N/A</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N/A</w:t>
            </w:r>
          </w:p>
        </w:tc>
        <w:tc>
          <w:tcPr>
            <w:tcW w:type="dxa" w:w="183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 80% renewal intent</w:t>
            </w:r>
          </w:p>
        </w:tc>
      </w:tr>
    </w:tbl>
    <w:p>
      <w:pPr>
        <w:spacing w:before="60" w:after="60"/>
      </w:pPr>
      <w:r>
        <w:t xml:space="preserve"/>
      </w:r>
    </w:p>
    <w:p>
      <w:pPr>
        <w:spacing w:before="60" w:after="60"/>
      </w:pPr>
      <w:r>
        <w:t xml:space="preserve"/>
      </w:r>
    </w:p>
    <w:p>
      <w:pPr>
        <w:pStyle w:val="Heading2"/>
        <w:spacing w:before="280" w:after="80"/>
      </w:pPr>
      <w:r>
        <w:rPr>
          <w:rFonts w:ascii="Arial" w:cs="Arial" w:eastAsia="Arial" w:hAnsi="Arial"/>
          <w:b/>
          <w:bCs/>
          <w:color w:val="0D7377"/>
          <w:sz w:val="24"/>
          <w:szCs w:val="24"/>
        </w:rPr>
        <w:t xml:space="preserve">Data Collection &amp; Analysis</w:t>
      </w:r>
    </w:p>
    <w:p>
      <w:pPr>
        <w:pStyle w:val="Heading3"/>
        <w:spacing w:before="200" w:after="60"/>
      </w:pPr>
      <w:r>
        <w:rPr>
          <w:rFonts w:ascii="Arial" w:cs="Arial" w:eastAsia="Arial" w:hAnsi="Arial"/>
          <w:b/>
          <w:bCs/>
          <w:color w:val="4A4A4A"/>
          <w:sz w:val="22"/>
          <w:szCs w:val="22"/>
        </w:rPr>
        <w:t xml:space="preserve">Quantitative Methods</w:t>
      </w:r>
    </w:p>
    <w:p>
      <w:pPr>
        <w:pStyle w:val="ListParagraph"/>
        <w:numPr>
          <w:ilvl w:val="0"/>
          <w:numId w:val="2"/>
        </w:numPr>
        <w:spacing w:before="40" w:after="60"/>
      </w:pPr>
      <w:r>
        <w:rPr>
          <w:rFonts w:ascii="Arial" w:cs="Arial" w:eastAsia="Arial" w:hAnsi="Arial"/>
          <w:sz w:val="22"/>
          <w:szCs w:val="22"/>
        </w:rPr>
        <w:t xml:space="preserve">Pre/post survey design with validated instruments (Maslach Burnout Inventory, Decision Self-Efficacy Scale)</w:t>
      </w:r>
    </w:p>
    <w:p>
      <w:pPr>
        <w:pStyle w:val="ListParagraph"/>
        <w:numPr>
          <w:ilvl w:val="0"/>
          <w:numId w:val="2"/>
        </w:numPr>
        <w:spacing w:before="40" w:after="60"/>
      </w:pPr>
      <w:r>
        <w:rPr>
          <w:rFonts w:ascii="Arial" w:cs="Arial" w:eastAsia="Arial" w:hAnsi="Arial"/>
          <w:sz w:val="22"/>
          <w:szCs w:val="22"/>
        </w:rPr>
        <w:t xml:space="preserve">Administrative data extraction (HR retention records, documentation audit)</w:t>
      </w:r>
    </w:p>
    <w:p>
      <w:pPr>
        <w:pStyle w:val="ListParagraph"/>
        <w:numPr>
          <w:ilvl w:val="0"/>
          <w:numId w:val="2"/>
        </w:numPr>
        <w:spacing w:before="40" w:after="60"/>
      </w:pPr>
      <w:r>
        <w:rPr>
          <w:rFonts w:ascii="Arial" w:cs="Arial" w:eastAsia="Arial" w:hAnsi="Arial"/>
          <w:sz w:val="22"/>
          <w:szCs w:val="22"/>
        </w:rPr>
        <w:t xml:space="preserve">App usage analytics (interaction frequency, scenario type, completion rates)</w:t>
      </w:r>
    </w:p>
    <w:p>
      <w:pPr>
        <w:pStyle w:val="ListParagraph"/>
        <w:numPr>
          <w:ilvl w:val="0"/>
          <w:numId w:val="2"/>
        </w:numPr>
        <w:spacing w:before="40" w:after="60"/>
      </w:pPr>
      <w:r>
        <w:rPr>
          <w:rFonts w:ascii="Arial" w:cs="Arial" w:eastAsia="Arial" w:hAnsi="Arial"/>
          <w:sz w:val="22"/>
          <w:szCs w:val="22"/>
        </w:rPr>
        <w:t xml:space="preserve">Statistical analysis: paired t-tests for within-group change; effect size (Cohen's d) reporting</w:t>
      </w:r>
    </w:p>
    <w:p>
      <w:pPr>
        <w:pStyle w:val="Heading3"/>
        <w:spacing w:before="200" w:after="60"/>
      </w:pPr>
      <w:r>
        <w:rPr>
          <w:rFonts w:ascii="Arial" w:cs="Arial" w:eastAsia="Arial" w:hAnsi="Arial"/>
          <w:b/>
          <w:bCs/>
          <w:color w:val="4A4A4A"/>
          <w:sz w:val="22"/>
          <w:szCs w:val="22"/>
        </w:rPr>
        <w:t xml:space="preserve">Qualitative Methods</w:t>
      </w:r>
    </w:p>
    <w:p>
      <w:pPr>
        <w:pStyle w:val="ListParagraph"/>
        <w:numPr>
          <w:ilvl w:val="0"/>
          <w:numId w:val="2"/>
        </w:numPr>
        <w:spacing w:before="40" w:after="60"/>
      </w:pPr>
      <w:r>
        <w:rPr>
          <w:rFonts w:ascii="Arial" w:cs="Arial" w:eastAsia="Arial" w:hAnsi="Arial"/>
          <w:sz w:val="22"/>
          <w:szCs w:val="22"/>
        </w:rPr>
        <w:t xml:space="preserve">Grounded theory approach to qualitative interview analysis</w:t>
      </w:r>
    </w:p>
    <w:p>
      <w:pPr>
        <w:pStyle w:val="ListParagraph"/>
        <w:numPr>
          <w:ilvl w:val="0"/>
          <w:numId w:val="2"/>
        </w:numPr>
        <w:spacing w:before="40" w:after="60"/>
      </w:pPr>
      <w:r>
        <w:rPr>
          <w:rFonts w:ascii="Arial" w:cs="Arial" w:eastAsia="Arial" w:hAnsi="Arial"/>
          <w:sz w:val="22"/>
          <w:szCs w:val="22"/>
        </w:rPr>
        <w:t xml:space="preserve">Thematic coding using NVivo or equivalent</w:t>
      </w:r>
    </w:p>
    <w:p>
      <w:pPr>
        <w:pStyle w:val="ListParagraph"/>
        <w:numPr>
          <w:ilvl w:val="0"/>
          <w:numId w:val="2"/>
        </w:numPr>
        <w:spacing w:before="40" w:after="60"/>
      </w:pPr>
      <w:r>
        <w:rPr>
          <w:rFonts w:ascii="Arial" w:cs="Arial" w:eastAsia="Arial" w:hAnsi="Arial"/>
          <w:sz w:val="22"/>
          <w:szCs w:val="22"/>
        </w:rPr>
        <w:t xml:space="preserve">Member-checking with worker participants to validate interpretations</w:t>
      </w:r>
    </w:p>
    <w:p>
      <w:pPr>
        <w:pStyle w:val="Heading3"/>
        <w:spacing w:before="200" w:after="60"/>
      </w:pPr>
      <w:r>
        <w:rPr>
          <w:rFonts w:ascii="Arial" w:cs="Arial" w:eastAsia="Arial" w:hAnsi="Arial"/>
          <w:b/>
          <w:bCs/>
          <w:color w:val="4A4A4A"/>
          <w:sz w:val="22"/>
          <w:szCs w:val="22"/>
        </w:rPr>
        <w:t xml:space="preserve">Independent Review</w:t>
      </w:r>
    </w:p>
    <w:p>
      <w:pPr>
        <w:pStyle w:val="ListParagraph"/>
        <w:numPr>
          <w:ilvl w:val="0"/>
          <w:numId w:val="2"/>
        </w:numPr>
        <w:spacing w:before="40" w:after="60"/>
      </w:pPr>
      <w:r>
        <w:rPr>
          <w:rFonts w:ascii="Arial" w:cs="Arial" w:eastAsia="Arial" w:hAnsi="Arial"/>
          <w:sz w:val="22"/>
          <w:szCs w:val="22"/>
        </w:rPr>
        <w:t xml:space="preserve">External academic reviewer (public health or implementation science faculty) to assess evaluation integrity</w:t>
      </w:r>
    </w:p>
    <w:p>
      <w:pPr>
        <w:pStyle w:val="ListParagraph"/>
        <w:numPr>
          <w:ilvl w:val="0"/>
          <w:numId w:val="2"/>
        </w:numPr>
        <w:spacing w:before="40" w:after="60"/>
      </w:pPr>
      <w:r>
        <w:rPr>
          <w:rFonts w:ascii="Arial" w:cs="Arial" w:eastAsia="Arial" w:hAnsi="Arial"/>
          <w:sz w:val="22"/>
          <w:szCs w:val="22"/>
        </w:rPr>
        <w:t xml:space="preserve">Pre-registration of evaluation protocol on Open Science Framework before data collection begins</w:t>
      </w:r>
    </w:p>
    <w:p>
      <w:pPr>
        <w:pStyle w:val="Heading3"/>
        <w:spacing w:before="200" w:after="60"/>
      </w:pPr>
      <w:r>
        <w:rPr>
          <w:rFonts w:ascii="Arial" w:cs="Arial" w:eastAsia="Arial" w:hAnsi="Arial"/>
          <w:b/>
          <w:bCs/>
          <w:color w:val="4A4A4A"/>
          <w:sz w:val="22"/>
          <w:szCs w:val="22"/>
        </w:rPr>
        <w:t xml:space="preserve">Ethical Governance</w:t>
      </w:r>
    </w:p>
    <w:p>
      <w:pPr>
        <w:pStyle w:val="ListParagraph"/>
        <w:numPr>
          <w:ilvl w:val="0"/>
          <w:numId w:val="2"/>
        </w:numPr>
        <w:spacing w:before="40" w:after="60"/>
      </w:pPr>
      <w:r>
        <w:rPr>
          <w:rFonts w:ascii="Arial" w:cs="Arial" w:eastAsia="Arial" w:hAnsi="Arial"/>
          <w:sz w:val="22"/>
          <w:szCs w:val="22"/>
        </w:rPr>
        <w:t xml:space="preserve">IRB review / ethics board submission through academic partner</w:t>
      </w:r>
    </w:p>
    <w:p>
      <w:pPr>
        <w:pStyle w:val="ListParagraph"/>
        <w:numPr>
          <w:ilvl w:val="0"/>
          <w:numId w:val="2"/>
        </w:numPr>
        <w:spacing w:before="40" w:after="60"/>
      </w:pPr>
      <w:r>
        <w:rPr>
          <w:rFonts w:ascii="Arial" w:cs="Arial" w:eastAsia="Arial" w:hAnsi="Arial"/>
          <w:sz w:val="22"/>
          <w:szCs w:val="22"/>
        </w:rPr>
        <w:t xml:space="preserve">Informed consent for all data collection; anonymization of app interaction logs</w:t>
      </w:r>
    </w:p>
    <w:p>
      <w:pPr>
        <w:pStyle w:val="ListParagraph"/>
        <w:numPr>
          <w:ilvl w:val="0"/>
          <w:numId w:val="2"/>
        </w:numPr>
        <w:spacing w:before="40" w:after="60"/>
      </w:pPr>
      <w:r>
        <w:rPr>
          <w:rFonts w:ascii="Arial" w:cs="Arial" w:eastAsia="Arial" w:hAnsi="Arial"/>
          <w:sz w:val="22"/>
          <w:szCs w:val="22"/>
        </w:rPr>
        <w:t xml:space="preserve">GDPR-compliant and HIPAA-aligned data handling protocols</w:t>
      </w:r>
    </w:p>
    <w:p>
      <w:pPr>
        <w:pStyle w:val="ListParagraph"/>
        <w:numPr>
          <w:ilvl w:val="0"/>
          <w:numId w:val="2"/>
        </w:numPr>
        <w:spacing w:before="40" w:after="60"/>
      </w:pPr>
      <w:r>
        <w:rPr>
          <w:rFonts w:ascii="Arial" w:cs="Arial" w:eastAsia="Arial" w:hAnsi="Arial"/>
          <w:sz w:val="22"/>
          <w:szCs w:val="22"/>
        </w:rPr>
        <w:t xml:space="preserve">Worker right to opt out of data collection at any time without penalty</w:t>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The Technical Architecture (NPA-05)</w:t>
      </w:r>
    </w:p>
    <w:p>
      <w:pPr>
        <w:pStyle w:val="Heading2"/>
        <w:spacing w:before="280" w:after="80"/>
      </w:pPr>
      <w:r>
        <w:rPr>
          <w:rFonts w:ascii="Arial" w:cs="Arial" w:eastAsia="Arial" w:hAnsi="Arial"/>
          <w:b/>
          <w:bCs/>
          <w:color w:val="0D7377"/>
          <w:sz w:val="24"/>
          <w:szCs w:val="24"/>
        </w:rPr>
        <w:t xml:space="preserve">The Invariant Chain: T→W→v→Eig→κ</w:t>
      </w:r>
    </w:p>
    <w:p>
      <w:pPr>
        <w:spacing w:before="60" w:after="100"/>
        <w:jc w:val="left"/>
      </w:pPr>
      <w:r>
        <w:rPr>
          <w:rFonts w:ascii="Arial" w:cs="Arial" w:eastAsia="Arial" w:hAnsi="Arial"/>
          <w:b w:val="false"/>
          <w:bCs w:val="false"/>
          <w:i w:val="false"/>
          <w:iCs w:val="false"/>
          <w:color w:val="000000"/>
          <w:sz w:val="22"/>
          <w:szCs w:val="22"/>
        </w:rPr>
        <w:t xml:space="preserve">The Ukubona decision-support system is not a thin wrapper around a generic language model. It is built on a computational architecture originally developed for Uganda's National Planning Authority to model national development performance across 146 districts, 100 indicators, and multiple time periods. That architecture — the invariant pentadic chain — is the same logic we apply to decision support in nonclinical mental health 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4660"/>
      </w:tblGrid>
      <w:tr>
        <w:trPr>
          <w:tblHeader/>
        </w:trPr>
        <w:tc>
          <w:tcPr>
            <w:tcW w:type="dxa" w:w="9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8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0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 NPA Planning</w:t>
            </w:r>
          </w:p>
        </w:tc>
        <w:tc>
          <w:tcPr>
            <w:tcW w:type="dxa" w:w="46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 Mental Health Decision Support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①</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 (Tensor)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146 districts × 100 indicators × time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Worker context × youth scenario dimensions × session history</w:t>
            </w:r>
          </w:p>
        </w:tc>
      </w:tr>
      <w:tr>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②</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W (Compressor)</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Weight matrix: board's explicit priorities</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Weight matrix: evidence-based intervention logic (crisis, support, referral)</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③</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 (Vector)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Dropdown: which PIAP programme is active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Query: what scenario is the worker navigating right now?</w:t>
            </w:r>
          </w:p>
        </w:tc>
      </w:tr>
      <w:tr>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④</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Eig (Structure)</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Dominant district clusters surface from data</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sz w:val="19"/>
                <w:szCs w:val="19"/>
              </w:rPr>
              <w:t xml:space="preserve">Scenario archetype surfaces: crisis, behavioral, systemic, relational</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⑤</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κ (Scalar)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One national performance number, owned by Government</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One structured guidance output, grounded in evidence and context</w:t>
            </w:r>
          </w:p>
        </w:tc>
      </w:tr>
    </w:tbl>
    <w:p>
      <w:pPr>
        <w:spacing w:before="60" w:after="60"/>
      </w:pPr>
      <w:r>
        <w:t xml:space="preserve"/>
      </w:r>
    </w:p>
    <w:p>
      <w:pPr>
        <w:spacing w:before="60" w:after="60"/>
      </w:pPr>
      <w:r>
        <w:t xml:space="preserve"/>
      </w:r>
    </w:p>
    <w:p>
      <w:pPr>
        <w:pStyle w:val="Heading2"/>
        <w:spacing w:before="280" w:after="80"/>
      </w:pPr>
      <w:r>
        <w:rPr>
          <w:rFonts w:ascii="Arial" w:cs="Arial" w:eastAsia="Arial" w:hAnsi="Arial"/>
          <w:b/>
          <w:bCs/>
          <w:color w:val="0D7377"/>
          <w:sz w:val="24"/>
          <w:szCs w:val="24"/>
        </w:rPr>
        <w:t xml:space="preserve">LLM Decision-Support Interface</w:t>
      </w:r>
    </w:p>
    <w:p>
      <w:pPr>
        <w:spacing w:before="60" w:after="100"/>
        <w:jc w:val="left"/>
      </w:pPr>
      <w:r>
        <w:rPr>
          <w:rFonts w:ascii="Arial" w:cs="Arial" w:eastAsia="Arial" w:hAnsi="Arial"/>
          <w:b w:val="false"/>
          <w:bCs w:val="false"/>
          <w:i w:val="false"/>
          <w:iCs w:val="false"/>
          <w:color w:val="000000"/>
          <w:sz w:val="22"/>
          <w:szCs w:val="22"/>
        </w:rPr>
        <w:t xml:space="preserve">The frontend is a lightweight, mobile-first web application. Workers interact via natural language chat. The backend routes their input through the pentadic compressor, identifies the relevant scenario archetype, retrieves evidence-based guidance from a curated knowledge base, and generates a structured response via the Claude API.</w:t>
      </w:r>
    </w:p>
    <w:p>
      <w:pPr>
        <w:spacing w:before="60" w:after="100"/>
        <w:jc w:val="left"/>
      </w:pPr>
      <w:r>
        <w:rPr>
          <w:rFonts w:ascii="Arial" w:cs="Arial" w:eastAsia="Arial" w:hAnsi="Arial"/>
          <w:b w:val="false"/>
          <w:bCs w:val="false"/>
          <w:i w:val="false"/>
          <w:iCs w:val="false"/>
          <w:color w:val="000000"/>
          <w:sz w:val="22"/>
          <w:szCs w:val="22"/>
        </w:rPr>
        <w:t xml:space="preserve">Critically, the system is designed to augment — not replace — human judgment. Every output includes a confidence indicator, a recommended next human step, and a clear escalation pathway if the scenario exceeds nonclinical scope. The system does not make clinical decisions. It provides the structured scaffolding that helps a peer supporter make better, more consistent, better-documented decisions.</w:t>
      </w:r>
    </w:p>
    <w:p>
      <w:pPr>
        <w:spacing w:before="60" w:after="100"/>
        <w:jc w:val="left"/>
      </w:pPr>
      <w:r>
        <w:rPr>
          <w:rFonts w:ascii="Arial" w:cs="Arial" w:eastAsia="Arial" w:hAnsi="Arial"/>
          <w:b w:val="false"/>
          <w:bCs w:val="false"/>
          <w:i w:val="false"/>
          <w:iCs w:val="false"/>
          <w:color w:val="000000"/>
          <w:sz w:val="22"/>
          <w:szCs w:val="22"/>
        </w:rPr>
        <w:t xml:space="preserve">The LLM layer is auditable. Every interaction can be reviewed by supervisors. Every guidance output references the evidence base it drew from. The weights — the intervention logic — are visible, adjustable, and owned by the deploying organization.</w:t>
      </w:r>
    </w:p>
    <w:p>
      <w:pPr>
        <w:spacing w:before="60" w:after="100"/>
        <w:jc w:val="left"/>
      </w:pPr>
      <w:r>
        <w:rPr>
          <w:rFonts w:ascii="Arial" w:cs="Arial" w:eastAsia="Arial" w:hAnsi="Arial"/>
          <w:b w:val="false"/>
          <w:bCs w:val="false"/>
          <w:i/>
          <w:iCs/>
          <w:color w:val="000000"/>
          <w:sz w:val="22"/>
          <w:szCs w:val="22"/>
        </w:rPr>
        <w:t xml:space="preserve">This is the distinction Vincent Mangeni of Uganda's NPA identified when comparing our architecture to Singapore's, the UK's, and Australia's national digital twins: those systems watch. Ours thinks — and it thinks with values as an explicit, auditable input.</w:t>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Budget Outline</w:t>
      </w:r>
    </w:p>
    <w:p>
      <w:pPr>
        <w:spacing w:before="60" w:after="100"/>
        <w:jc w:val="left"/>
      </w:pPr>
      <w:r>
        <w:rPr>
          <w:rFonts w:ascii="Arial" w:cs="Arial" w:eastAsia="Arial" w:hAnsi="Arial"/>
          <w:b w:val="false"/>
          <w:bCs w:val="false"/>
          <w:i w:val="false"/>
          <w:iCs w:val="false"/>
          <w:color w:val="000000"/>
          <w:sz w:val="22"/>
          <w:szCs w:val="22"/>
        </w:rPr>
        <w:t xml:space="preserve">Requested: $250,000 – $500,000 (12-month pilot). Below is a proportional allocation across the $350,000 midpoint.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Amount (USD)</w:t>
            </w:r>
          </w:p>
        </w:tc>
        <w:tc>
          <w:tcPr>
            <w:tcW w:type="dxa" w:w="336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Technology: LLM API production deployment &amp; infrastructure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$80,000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API costs, server, security audit, CI/CD pipeline</w:t>
            </w:r>
          </w:p>
        </w:tc>
      </w:tr>
      <w:tr>
        <w:tc>
          <w:tcPr>
            <w:tcW w:type="dxa" w:w="4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UX/UI Design &amp; Optimization (mobile-first, accessibility)</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$45,000</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Nonclinical worker-centered design; 3 iteration cycles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Personnel: Lead Engineer (0.5 FTE, 12 months)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$75,000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Backend/frontend development and maintenance</w:t>
            </w:r>
          </w:p>
        </w:tc>
      </w:tr>
      <w:tr>
        <w:tc>
          <w:tcPr>
            <w:tcW w:type="dxa" w:w="4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Personnel: Project Manager / Pilot Coordinator (0.5 FTE)</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$45,000</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Partner relations, onboarding, data collection coordination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Pilot Operations: Partner organization support grants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$40,000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Stipends, training time, site coordination for 50 workers</w:t>
            </w:r>
          </w:p>
        </w:tc>
      </w:tr>
      <w:tr>
        <w:tc>
          <w:tcPr>
            <w:tcW w:type="dxa" w:w="4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Evaluation: Academic partner, IRB, data analysis</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$30,000</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Independent evaluation, pre-registration, ethics review</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Dissemination: Report, open publication, conference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$15,000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Sector-wide learning; Year 2 funding groundwork</w:t>
            </w:r>
          </w:p>
        </w:tc>
      </w:tr>
      <w:tr>
        <w:tc>
          <w:tcPr>
            <w:tcW w:type="dxa" w:w="4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Indirect / Organizational Overhead (10%)</w:t>
            </w:r>
          </w:p>
        </w:tc>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$20,000</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b w:val="false"/>
                <w:bCs w:val="false"/>
                <w:color w:val="000000"/>
                <w:sz w:val="20"/>
                <w:szCs w:val="20"/>
              </w:rPr>
              <w:t xml:space="preserve">Organizational support and compliance</w:t>
            </w:r>
          </w:p>
        </w:tc>
      </w:tr>
      <w:tr>
        <w:tc>
          <w:tcPr>
            <w:tcW w:type="dxa" w:w="4200"/>
            <w:tcBorders>
              <w:top w:val="single" w:color="CCCCCC" w:sz="1"/>
              <w:left w:val="single" w:color="CCCCCC" w:sz="1"/>
              <w:bottom w:val="single" w:color="CCCCCC" w:sz="1"/>
              <w:right w:val="single" w:color="CCCCCC" w:sz="1"/>
            </w:tcBorders>
            <w:shd w:fill="1B3A6B" w:val="clear"/>
            <w:tcMar>
              <w:top w:type="dxa" w:w="70"/>
              <w:left w:type="dxa" w:w="120"/>
              <w:bottom w:type="dxa" w:w="70"/>
              <w:right w:type="dxa" w:w="120"/>
            </w:tcMar>
          </w:tcPr>
          <w:p>
            <w:r>
              <w:rPr>
                <w:rFonts w:ascii="Arial" w:cs="Arial" w:eastAsia="Arial" w:hAnsi="Arial"/>
                <w:b/>
                <w:bCs/>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1B3A6B" w:val="clear"/>
            <w:tcMar>
              <w:top w:type="dxa" w:w="70"/>
              <w:left w:type="dxa" w:w="120"/>
              <w:bottom w:type="dxa" w:w="70"/>
              <w:right w:type="dxa" w:w="120"/>
            </w:tcMar>
          </w:tcPr>
          <w:p>
            <w:r>
              <w:rPr>
                <w:rFonts w:ascii="Arial" w:cs="Arial" w:eastAsia="Arial" w:hAnsi="Arial"/>
                <w:b/>
                <w:bCs/>
                <w:color w:val="FFFFFF"/>
                <w:sz w:val="20"/>
                <w:szCs w:val="20"/>
              </w:rPr>
              <w:t xml:space="preserve">$350,000</w:t>
            </w:r>
          </w:p>
        </w:tc>
        <w:tc>
          <w:tcPr>
            <w:tcW w:type="dxa" w:w="3360"/>
            <w:tcBorders>
              <w:top w:val="single" w:color="CCCCCC" w:sz="1"/>
              <w:left w:val="single" w:color="CCCCCC" w:sz="1"/>
              <w:bottom w:val="single" w:color="CCCCCC" w:sz="1"/>
              <w:right w:val="single" w:color="CCCCCC" w:sz="1"/>
            </w:tcBorders>
            <w:shd w:fill="1B3A6B" w:val="clear"/>
            <w:tcMar>
              <w:top w:type="dxa" w:w="70"/>
              <w:left w:type="dxa" w:w="120"/>
              <w:bottom w:type="dxa" w:w="70"/>
              <w:right w:type="dxa" w:w="120"/>
            </w:tcMar>
          </w:tcPr>
          <w:p>
            <w:r>
              <w:rPr>
                <w:rFonts w:ascii="Arial" w:cs="Arial" w:eastAsia="Arial" w:hAnsi="Arial"/>
                <w:b/>
                <w:bCs/>
                <w:color w:val="FFFFFF"/>
                <w:sz w:val="20"/>
                <w:szCs w:val="20"/>
              </w:rPr>
              <w:t xml:space="preserve"/>
            </w:r>
          </w:p>
        </w:tc>
      </w:tr>
    </w:tbl>
    <w:p>
      <w:pPr>
        <w:spacing w:before="60" w:after="60"/>
      </w:pPr>
      <w:r>
        <w:t xml:space="preserve"/>
      </w:r>
    </w:p>
    <w:p>
      <w:pPr>
        <w:spacing w:before="60" w:after="60"/>
      </w:pPr>
      <w:r>
        <w:t xml:space="preserve"/>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Organizational Capacity</w:t>
      </w:r>
    </w:p>
    <w:p>
      <w:pPr>
        <w:spacing w:before="60" w:after="100"/>
        <w:jc w:val="left"/>
      </w:pPr>
      <w:r>
        <w:rPr>
          <w:rFonts w:ascii="Arial" w:cs="Arial" w:eastAsia="Arial" w:hAnsi="Arial"/>
          <w:b w:val="false"/>
          <w:bCs w:val="false"/>
          <w:i w:val="false"/>
          <w:iCs w:val="false"/>
          <w:color w:val="000000"/>
          <w:sz w:val="22"/>
          <w:szCs w:val="22"/>
        </w:rPr>
        <w:t xml:space="preserve">Ukubona LLC is a health-technology company operating at the intersection of computational governance, AI infrastructure, and community health. We have demonstrated the capacity to build and deploy sophisticated technical systems in resource-constrained environments, including our landmark partnership with Uganda's National Planning Authority to develop the country's first intelligence-layer national digital twin (NPA-05).</w:t>
      </w:r>
    </w:p>
    <w:p>
      <w:pPr>
        <w:pStyle w:val="Heading2"/>
        <w:spacing w:before="280" w:after="80"/>
      </w:pPr>
      <w:r>
        <w:rPr>
          <w:rFonts w:ascii="Arial" w:cs="Arial" w:eastAsia="Arial" w:hAnsi="Arial"/>
          <w:b/>
          <w:bCs/>
          <w:color w:val="0D7377"/>
          <w:sz w:val="24"/>
          <w:szCs w:val="24"/>
        </w:rPr>
        <w:t xml:space="preserve">Key Organizational Assets</w:t>
      </w:r>
    </w:p>
    <w:p>
      <w:pPr>
        <w:pStyle w:val="ListParagraph"/>
        <w:numPr>
          <w:ilvl w:val="0"/>
          <w:numId w:val="2"/>
        </w:numPr>
        <w:spacing w:before="40" w:after="60"/>
      </w:pPr>
      <w:r>
        <w:rPr>
          <w:rFonts w:ascii="Arial" w:cs="Arial" w:eastAsia="Arial" w:hAnsi="Arial"/>
          <w:sz w:val="22"/>
          <w:szCs w:val="22"/>
        </w:rPr>
        <w:t xml:space="preserve">Proven computational architecture (T→W→v→Eig→κ) deployed with Uganda NPA for national planning</w:t>
      </w:r>
    </w:p>
    <w:p>
      <w:pPr>
        <w:pStyle w:val="ListParagraph"/>
        <w:numPr>
          <w:ilvl w:val="0"/>
          <w:numId w:val="2"/>
        </w:numPr>
        <w:spacing w:before="40" w:after="60"/>
      </w:pPr>
      <w:r>
        <w:rPr>
          <w:rFonts w:ascii="Arial" w:cs="Arial" w:eastAsia="Arial" w:hAnsi="Arial"/>
          <w:sz w:val="22"/>
          <w:szCs w:val="22"/>
        </w:rPr>
        <w:t xml:space="preserve">Active LLM API integration capability (Anthropic Claude)</w:t>
      </w:r>
    </w:p>
    <w:p>
      <w:pPr>
        <w:pStyle w:val="ListParagraph"/>
        <w:numPr>
          <w:ilvl w:val="0"/>
          <w:numId w:val="2"/>
        </w:numPr>
        <w:spacing w:before="40" w:after="60"/>
      </w:pPr>
      <w:r>
        <w:rPr>
          <w:rFonts w:ascii="Arial" w:cs="Arial" w:eastAsia="Arial" w:hAnsi="Arial"/>
          <w:sz w:val="22"/>
          <w:szCs w:val="22"/>
        </w:rPr>
        <w:t xml:space="preserve">Maryland-based legal entity with fiscal compliance infrastructure</w:t>
      </w:r>
    </w:p>
    <w:p>
      <w:pPr>
        <w:pStyle w:val="ListParagraph"/>
        <w:numPr>
          <w:ilvl w:val="0"/>
          <w:numId w:val="2"/>
        </w:numPr>
        <w:spacing w:before="40" w:after="60"/>
      </w:pPr>
      <w:r>
        <w:rPr>
          <w:rFonts w:ascii="Arial" w:cs="Arial" w:eastAsia="Arial" w:hAnsi="Arial"/>
          <w:sz w:val="22"/>
          <w:szCs w:val="22"/>
        </w:rPr>
        <w:t xml:space="preserve">Uganda-based operations providing direct community health context</w:t>
      </w:r>
    </w:p>
    <w:p>
      <w:pPr>
        <w:pStyle w:val="ListParagraph"/>
        <w:numPr>
          <w:ilvl w:val="0"/>
          <w:numId w:val="2"/>
        </w:numPr>
        <w:spacing w:before="40" w:after="60"/>
      </w:pPr>
      <w:r>
        <w:rPr>
          <w:rFonts w:ascii="Arial" w:cs="Arial" w:eastAsia="Arial" w:hAnsi="Arial"/>
          <w:sz w:val="22"/>
          <w:szCs w:val="22"/>
        </w:rPr>
        <w:t xml:space="preserve">Interdisciplinary team spanning epidemiology, software engineering, public health, and computational social science</w:t>
      </w:r>
    </w:p>
    <w:p>
      <w:pPr>
        <w:pStyle w:val="Heading2"/>
        <w:spacing w:before="280" w:after="80"/>
      </w:pPr>
      <w:r>
        <w:rPr>
          <w:rFonts w:ascii="Arial" w:cs="Arial" w:eastAsia="Arial" w:hAnsi="Arial"/>
          <w:b/>
          <w:bCs/>
          <w:color w:val="0D7377"/>
          <w:sz w:val="24"/>
          <w:szCs w:val="24"/>
        </w:rPr>
        <w:t xml:space="preserve">Track Record</w:t>
      </w:r>
    </w:p>
    <w:p>
      <w:pPr>
        <w:pStyle w:val="ListParagraph"/>
        <w:numPr>
          <w:ilvl w:val="0"/>
          <w:numId w:val="2"/>
        </w:numPr>
        <w:spacing w:before="40" w:after="60"/>
      </w:pPr>
      <w:r>
        <w:rPr>
          <w:rFonts w:ascii="Arial" w:cs="Arial" w:eastAsia="Arial" w:hAnsi="Arial"/>
          <w:sz w:val="22"/>
          <w:szCs w:val="22"/>
        </w:rPr>
        <w:t xml:space="preserve">NPA-04 / NPA-05: Digital twin architecture for Uganda's 146 districts, praised by NPA ICT leadership as surpassing Singapore, UK, and Australia national twins in intelligence-layer design</w:t>
      </w:r>
    </w:p>
    <w:p>
      <w:pPr>
        <w:pStyle w:val="ListParagraph"/>
        <w:numPr>
          <w:ilvl w:val="0"/>
          <w:numId w:val="2"/>
        </w:numPr>
        <w:spacing w:before="40" w:after="60"/>
      </w:pPr>
      <w:r>
        <w:rPr>
          <w:rFonts w:ascii="Arial" w:cs="Arial" w:eastAsia="Arial" w:hAnsi="Arial"/>
          <w:sz w:val="22"/>
          <w:szCs w:val="22"/>
        </w:rPr>
        <w:t xml:space="preserve">SIB-GAP: Social Impact Bond / Gap-Aware Policy framework for health infrastructure, featuring multi-model LLM alignment methodology (Google, OpenAI, Anthropic, xAI cross-validation)</w:t>
      </w:r>
    </w:p>
    <w:p>
      <w:pPr>
        <w:pStyle w:val="ListParagraph"/>
        <w:numPr>
          <w:ilvl w:val="0"/>
          <w:numId w:val="2"/>
        </w:numPr>
        <w:spacing w:before="40" w:after="60"/>
      </w:pPr>
      <w:r>
        <w:rPr>
          <w:rFonts w:ascii="Arial" w:cs="Arial" w:eastAsia="Arial" w:hAnsi="Arial"/>
          <w:sz w:val="22"/>
          <w:szCs w:val="22"/>
        </w:rPr>
        <w:t xml:space="preserve">Ongoing research on CKD burden, transplant access gaps, and caregiver economics in East Africa — the same populations we aim to serve through nonclinical mental health workforce augmentation</w:t>
      </w:r>
    </w:p>
    <w:p>
      <w:pPr>
        <w:pStyle w:val="Heading2"/>
        <w:spacing w:before="280" w:after="80"/>
      </w:pPr>
      <w:r>
        <w:rPr>
          <w:rFonts w:ascii="Arial" w:cs="Arial" w:eastAsia="Arial" w:hAnsi="Arial"/>
          <w:b/>
          <w:bCs/>
          <w:color w:val="0D7377"/>
          <w:sz w:val="24"/>
          <w:szCs w:val="24"/>
        </w:rPr>
        <w:t xml:space="preserve">Scalability Commitment</w:t>
      </w:r>
    </w:p>
    <w:p>
      <w:pPr>
        <w:spacing w:before="60" w:after="100"/>
        <w:jc w:val="left"/>
      </w:pPr>
      <w:r>
        <w:rPr>
          <w:rFonts w:ascii="Arial" w:cs="Arial" w:eastAsia="Arial" w:hAnsi="Arial"/>
          <w:b w:val="false"/>
          <w:bCs w:val="false"/>
          <w:i w:val="false"/>
          <w:iCs w:val="false"/>
          <w:color w:val="000000"/>
          <w:sz w:val="22"/>
          <w:szCs w:val="22"/>
        </w:rPr>
        <w:t xml:space="preserve">We are committed to open evaluation, transparent methodology, and sector-wide learning. Our end goal is not proprietary lock-in — it is a scalable, licensable, community-owned infrastructure that any nonprofit organization can deploy. The architecture is invariant; only the content changes. That is what makes it a 50-year platform and not a dashboard.</w:t>
      </w:r>
    </w:p>
    <w:p>
      <w:r>
        <w:br w:type="page"/>
      </w:r>
    </w:p>
    <w:p>
      <w:pPr>
        <w:pStyle w:val="Heading1"/>
        <w:pBdr>
          <w:bottom w:val="single" w:color="0D7377" w:sz="8" w:space="6"/>
        </w:pBdr>
        <w:spacing w:before="400" w:after="120"/>
      </w:pPr>
      <w:r>
        <w:rPr>
          <w:rFonts w:ascii="Arial" w:cs="Arial" w:eastAsia="Arial" w:hAnsi="Arial"/>
          <w:b/>
          <w:bCs/>
          <w:color w:val="1B3A6B"/>
          <w:sz w:val="28"/>
          <w:szCs w:val="28"/>
        </w:rPr>
        <w:t xml:space="preserve">Appendix: Architecture Diagram — The Invariant Chain</w:t>
      </w:r>
    </w:p>
    <w:p>
      <w:pPr>
        <w:spacing w:before="60" w:after="60"/>
      </w:pPr>
      <w:r>
        <w:t xml:space="preserve"/>
      </w:r>
    </w:p>
    <w:p>
      <w:pPr>
        <w:spacing w:before="60" w:after="100"/>
        <w:jc w:val="left"/>
      </w:pPr>
      <w:r>
        <w:rPr>
          <w:rFonts w:ascii="Arial" w:cs="Arial" w:eastAsia="Arial" w:hAnsi="Arial"/>
          <w:b w:val="false"/>
          <w:bCs w:val="false"/>
          <w:i w:val="false"/>
          <w:iCs w:val="false"/>
          <w:color w:val="000000"/>
          <w:sz w:val="22"/>
          <w:szCs w:val="22"/>
        </w:rPr>
        <w:t xml:space="preserve">The five-node chain below represents the complete logic of the Ukubona decision-support system. Each node is a computational operation. The chain is invariant: the same structure processes national planning data for Uganda's 146 districts and real-time decision scenarios for a peer supporter in a school hallway.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① TENSOR</w:t>
            </w:r>
          </w:p>
          <w:p>
            <w:pPr>
              <w:jc w:val="center"/>
            </w:pPr>
            <w:r>
              <w:rPr>
                <w:rFonts w:ascii="Arial" w:cs="Arial" w:eastAsia="Arial" w:hAnsi="Arial"/>
                <w:b/>
                <w:bCs/>
                <w:color w:val="FFFFFF"/>
                <w:sz w:val="52"/>
                <w:szCs w:val="52"/>
              </w:rPr>
              <w:t xml:space="preserve">T</w:t>
            </w:r>
          </w:p>
          <w:p>
            <w:pPr>
              <w:jc w:val="center"/>
            </w:pPr>
            <w:r>
              <w:rPr>
                <w:rFonts w:ascii="Arial" w:cs="Arial" w:eastAsia="Arial" w:hAnsi="Arial"/>
                <w:color w:val="FFFFFF"/>
                <w:sz w:val="17"/>
                <w:szCs w:val="17"/>
              </w:rPr>
              <w:t xml:space="preserve">Context</w:t>
            </w:r>
          </w:p>
          <w:p>
            <w:pPr>
              <w:jc w:val="center"/>
            </w:pPr>
            <w:r>
              <w:rPr>
                <w:rFonts w:ascii="Arial" w:cs="Arial" w:eastAsia="Arial" w:hAnsi="Arial"/>
                <w:color w:val="FFFFFF"/>
                <w:sz w:val="17"/>
                <w:szCs w:val="17"/>
              </w:rPr>
              <w:t xml:space="preserve">(who, where,</w:t>
            </w:r>
          </w:p>
          <w:p>
            <w:pPr>
              <w:jc w:val="center"/>
            </w:pPr>
            <w:r>
              <w:rPr>
                <w:rFonts w:ascii="Arial" w:cs="Arial" w:eastAsia="Arial" w:hAnsi="Arial"/>
                <w:color w:val="FFFFFF"/>
                <w:sz w:val="17"/>
                <w:szCs w:val="17"/>
              </w:rPr>
              <w:t xml:space="preserve">what scenario)</w:t>
            </w:r>
          </w:p>
        </w:tc>
        <w:tc>
          <w:tcPr>
            <w:tcW w:type="dxa" w:w="1872"/>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② COMPRESSOR</w:t>
            </w:r>
          </w:p>
          <w:p>
            <w:pPr>
              <w:jc w:val="center"/>
            </w:pPr>
            <w:r>
              <w:rPr>
                <w:rFonts w:ascii="Arial" w:cs="Arial" w:eastAsia="Arial" w:hAnsi="Arial"/>
                <w:b/>
                <w:bCs/>
                <w:color w:val="FFFFFF"/>
                <w:sz w:val="52"/>
                <w:szCs w:val="52"/>
              </w:rPr>
              <w:t xml:space="preserve">W</w:t>
            </w:r>
          </w:p>
          <w:p>
            <w:pPr>
              <w:jc w:val="center"/>
            </w:pPr>
            <w:r>
              <w:rPr>
                <w:rFonts w:ascii="Arial" w:cs="Arial" w:eastAsia="Arial" w:hAnsi="Arial"/>
                <w:color w:val="FFFFFF"/>
                <w:sz w:val="17"/>
                <w:szCs w:val="17"/>
              </w:rPr>
              <w:t xml:space="preserve">Weight Matrix</w:t>
            </w:r>
          </w:p>
          <w:p>
            <w:pPr>
              <w:jc w:val="center"/>
            </w:pPr>
            <w:r>
              <w:rPr>
                <w:rFonts w:ascii="Arial" w:cs="Arial" w:eastAsia="Arial" w:hAnsi="Arial"/>
                <w:color w:val="FFFFFF"/>
                <w:sz w:val="17"/>
                <w:szCs w:val="17"/>
              </w:rPr>
              <w:t xml:space="preserve">(evidence-based</w:t>
            </w:r>
          </w:p>
          <w:p>
            <w:pPr>
              <w:jc w:val="center"/>
            </w:pPr>
            <w:r>
              <w:rPr>
                <w:rFonts w:ascii="Arial" w:cs="Arial" w:eastAsia="Arial" w:hAnsi="Arial"/>
                <w:color w:val="FFFFFF"/>
                <w:sz w:val="17"/>
                <w:szCs w:val="17"/>
              </w:rPr>
              <w:t xml:space="preserve">intervention logic)</w:t>
            </w:r>
          </w:p>
        </w:tc>
        <w:tc>
          <w:tcPr>
            <w:tcW w:type="dxa" w:w="1872"/>
            <w:tcBorders>
              <w:top w:val="none" w:color="FFFFFF" w:sz="0"/>
              <w:left w:val="none" w:color="FFFFFF" w:sz="0"/>
              <w:bottom w:val="none" w:color="FFFFFF" w:sz="0"/>
              <w:right w:val="none" w:color="FFFFFF" w:sz="0"/>
            </w:tcBorders>
            <w:shd w:fill="C8961E"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③ VECTOR</w:t>
            </w:r>
          </w:p>
          <w:p>
            <w:pPr>
              <w:jc w:val="center"/>
            </w:pPr>
            <w:r>
              <w:rPr>
                <w:rFonts w:ascii="Arial" w:cs="Arial" w:eastAsia="Arial" w:hAnsi="Arial"/>
                <w:b/>
                <w:bCs/>
                <w:color w:val="FFFFFF"/>
                <w:sz w:val="52"/>
                <w:szCs w:val="52"/>
              </w:rPr>
              <w:t xml:space="preserve">v</w:t>
            </w:r>
          </w:p>
          <w:p>
            <w:pPr>
              <w:jc w:val="center"/>
            </w:pPr>
            <w:r>
              <w:rPr>
                <w:rFonts w:ascii="Arial" w:cs="Arial" w:eastAsia="Arial" w:hAnsi="Arial"/>
                <w:color w:val="FFFFFF"/>
                <w:sz w:val="17"/>
                <w:szCs w:val="17"/>
              </w:rPr>
              <w:t xml:space="preserve">Active Query</w:t>
            </w:r>
          </w:p>
          <w:p>
            <w:pPr>
              <w:jc w:val="center"/>
            </w:pPr>
            <w:r>
              <w:rPr>
                <w:rFonts w:ascii="Arial" w:cs="Arial" w:eastAsia="Arial" w:hAnsi="Arial"/>
                <w:color w:val="FFFFFF"/>
                <w:sz w:val="17"/>
                <w:szCs w:val="17"/>
              </w:rPr>
              <w:t xml:space="preserve">(worker's real-time</w:t>
            </w:r>
          </w:p>
          <w:p>
            <w:pPr>
              <w:jc w:val="center"/>
            </w:pPr>
            <w:r>
              <w:rPr>
                <w:rFonts w:ascii="Arial" w:cs="Arial" w:eastAsia="Arial" w:hAnsi="Arial"/>
                <w:color w:val="FFFFFF"/>
                <w:sz w:val="17"/>
                <w:szCs w:val="17"/>
              </w:rPr>
              <w:t xml:space="preserve">scenario)</w:t>
            </w:r>
          </w:p>
        </w:tc>
        <w:tc>
          <w:tcPr>
            <w:tcW w:type="dxa" w:w="1872"/>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④ EIGENSTRUCTURE</w:t>
            </w:r>
          </w:p>
          <w:p>
            <w:pPr>
              <w:jc w:val="center"/>
            </w:pPr>
            <w:r>
              <w:rPr>
                <w:rFonts w:ascii="Arial" w:cs="Arial" w:eastAsia="Arial" w:hAnsi="Arial"/>
                <w:b/>
                <w:bCs/>
                <w:color w:val="FFFFFF"/>
                <w:sz w:val="52"/>
                <w:szCs w:val="52"/>
              </w:rPr>
              <w:t xml:space="preserve">Eig</w:t>
            </w:r>
          </w:p>
          <w:p>
            <w:pPr>
              <w:jc w:val="center"/>
            </w:pPr>
            <w:r>
              <w:rPr>
                <w:rFonts w:ascii="Arial" w:cs="Arial" w:eastAsia="Arial" w:hAnsi="Arial"/>
                <w:color w:val="FFFFFF"/>
                <w:sz w:val="17"/>
                <w:szCs w:val="17"/>
              </w:rPr>
              <w:t xml:space="preserve">Scenario Archetype</w:t>
            </w:r>
          </w:p>
          <w:p>
            <w:pPr>
              <w:jc w:val="center"/>
            </w:pPr>
            <w:r>
              <w:rPr>
                <w:rFonts w:ascii="Arial" w:cs="Arial" w:eastAsia="Arial" w:hAnsi="Arial"/>
                <w:color w:val="FFFFFF"/>
                <w:sz w:val="17"/>
                <w:szCs w:val="17"/>
              </w:rPr>
              <w:t xml:space="preserve">(crisis / support /</w:t>
            </w:r>
          </w:p>
          <w:p>
            <w:pPr>
              <w:jc w:val="center"/>
            </w:pPr>
            <w:r>
              <w:rPr>
                <w:rFonts w:ascii="Arial" w:cs="Arial" w:eastAsia="Arial" w:hAnsi="Arial"/>
                <w:color w:val="FFFFFF"/>
                <w:sz w:val="17"/>
                <w:szCs w:val="17"/>
              </w:rPr>
              <w:t xml:space="preserve">referral / systemic)</w:t>
            </w:r>
          </w:p>
        </w:tc>
        <w:tc>
          <w:tcPr>
            <w:tcW w:type="dxa" w:w="1872"/>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⑤ SCALAR</w:t>
            </w:r>
          </w:p>
          <w:p>
            <w:pPr>
              <w:jc w:val="center"/>
            </w:pPr>
            <w:r>
              <w:rPr>
                <w:rFonts w:ascii="Arial" w:cs="Arial" w:eastAsia="Arial" w:hAnsi="Arial"/>
                <w:b/>
                <w:bCs/>
                <w:color w:val="FFFFFF"/>
                <w:sz w:val="52"/>
                <w:szCs w:val="52"/>
              </w:rPr>
              <w:t xml:space="preserve">κ</w:t>
            </w:r>
          </w:p>
          <w:p>
            <w:pPr>
              <w:jc w:val="center"/>
            </w:pPr>
            <w:r>
              <w:rPr>
                <w:rFonts w:ascii="Arial" w:cs="Arial" w:eastAsia="Arial" w:hAnsi="Arial"/>
                <w:color w:val="FFFFFF"/>
                <w:sz w:val="17"/>
                <w:szCs w:val="17"/>
              </w:rPr>
              <w:t xml:space="preserve">Structured</w:t>
            </w:r>
          </w:p>
          <w:p>
            <w:pPr>
              <w:jc w:val="center"/>
            </w:pPr>
            <w:r>
              <w:rPr>
                <w:rFonts w:ascii="Arial" w:cs="Arial" w:eastAsia="Arial" w:hAnsi="Arial"/>
                <w:color w:val="FFFFFF"/>
                <w:sz w:val="17"/>
                <w:szCs w:val="17"/>
              </w:rPr>
              <w:t xml:space="preserve">Guidance Output</w:t>
            </w:r>
          </w:p>
          <w:p>
            <w:pPr>
              <w:jc w:val="center"/>
            </w:pPr>
            <w:r>
              <w:rPr>
                <w:rFonts w:ascii="Arial" w:cs="Arial" w:eastAsia="Arial" w:hAnsi="Arial"/>
                <w:color w:val="FFFFFF"/>
                <w:sz w:val="17"/>
                <w:szCs w:val="17"/>
              </w:rPr>
              <w:t xml:space="preserve">(actionable, grounded)</w:t>
            </w:r>
          </w:p>
        </w:tc>
      </w:tr>
    </w:tbl>
    <w:p>
      <w:pPr>
        <w:spacing w:before="60" w:after="60"/>
      </w:pPr>
      <w:r>
        <w:t xml:space="preserve"/>
      </w:r>
    </w:p>
    <w:p>
      <w:pPr>
        <w:spacing w:before="60" w:after="60"/>
      </w:pPr>
      <w:r>
        <w:t xml:space="preserve"/>
      </w:r>
    </w:p>
    <w:p>
      <w:pPr>
        <w:spacing w:before="60" w:after="100"/>
        <w:jc w:val="center"/>
      </w:pPr>
      <w:r>
        <w:rPr>
          <w:rFonts w:ascii="Arial" w:cs="Arial" w:eastAsia="Arial" w:hAnsi="Arial"/>
          <w:b/>
          <w:bCs/>
          <w:i w:val="false"/>
          <w:iCs w:val="false"/>
          <w:color w:val="1B3A6B"/>
          <w:sz w:val="26"/>
          <w:szCs w:val="26"/>
        </w:rPr>
        <w:t xml:space="preserve">T → W → v → Eig → κ</w:t>
      </w:r>
    </w:p>
    <w:p>
      <w:pPr>
        <w:spacing w:before="60" w:after="100"/>
        <w:jc w:val="center"/>
      </w:pPr>
      <w:r>
        <w:rPr>
          <w:rFonts w:ascii="Arial" w:cs="Arial" w:eastAsia="Arial" w:hAnsi="Arial"/>
          <w:b w:val="false"/>
          <w:bCs w:val="false"/>
          <w:i/>
          <w:iCs/>
          <w:color w:val="000000"/>
          <w:sz w:val="22"/>
          <w:szCs w:val="22"/>
        </w:rPr>
        <w:t xml:space="preserve">The chain is invariant. Swap the programme. Swap the era. Only the content changes.</w:t>
      </w:r>
    </w:p>
    <w:p>
      <w:pPr>
        <w:spacing w:before="60" w:after="60"/>
      </w:pPr>
      <w:r>
        <w:t xml:space="preserve"/>
      </w:r>
    </w:p>
    <w:p>
      <w:pPr>
        <w:spacing w:before="60" w:after="60"/>
      </w:pPr>
      <w:r>
        <w:t xml:space="preserve"/>
      </w:r>
    </w:p>
    <w:p>
      <w:pPr>
        <w:pBdr>
          <w:bottom w:val="single" w:color="C8961E" w:sz="4" w:space="4"/>
        </w:pBdr>
        <w:spacing w:before="120" w:after="120"/>
      </w:pPr>
      <w:r>
        <w:t xml:space="preserve"/>
      </w:r>
    </w:p>
    <w:p>
      <w:pPr>
        <w:spacing w:before="60" w:after="60"/>
      </w:pPr>
      <w:r>
        <w:t xml:space="preserve"/>
      </w:r>
    </w:p>
    <w:p>
      <w:pPr>
        <w:spacing w:before="60" w:after="100"/>
        <w:jc w:val="center"/>
      </w:pPr>
      <w:r>
        <w:rPr>
          <w:rFonts w:ascii="Arial" w:cs="Arial" w:eastAsia="Arial" w:hAnsi="Arial"/>
          <w:b w:val="false"/>
          <w:bCs w:val="false"/>
          <w:i w:val="false"/>
          <w:iCs w:val="false"/>
          <w:color w:val="4A4A4A"/>
          <w:sz w:val="22"/>
          <w:szCs w:val="22"/>
        </w:rPr>
        <w:t xml:space="preserve">Ukubona LLC  ·  npa-05  ·  Kampala &amp; Maryland  ·  2026</w:t>
      </w:r>
    </w:p>
    <w:p>
      <w:pPr>
        <w:spacing w:before="60" w:after="100"/>
        <w:jc w:val="center"/>
      </w:pPr>
      <w:r>
        <w:rPr>
          <w:rFonts w:ascii="Arial" w:cs="Arial" w:eastAsia="Arial" w:hAnsi="Arial"/>
          <w:b w:val="false"/>
          <w:bCs w:val="false"/>
          <w:i/>
          <w:iCs/>
          <w:color w:val="0D7377"/>
          <w:sz w:val="22"/>
          <w:szCs w:val="22"/>
        </w:rPr>
        <w:t xml:space="preserve">"The others built dashboards that watch. We built a mind that thinks — with values as an explicit, auditable input."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tabs>
        <w:tab w:val="right" w:pos="9026"/>
      </w:tabs>
    </w:pPr>
    <w:r>
      <w:rPr>
        <w:rFonts w:ascii="Arial" w:cs="Arial" w:eastAsia="Arial" w:hAnsi="Arial"/>
        <w:i/>
        <w:iCs/>
        <w:color w:val="4A4A4A"/>
        <w:sz w:val="18"/>
        <w:szCs w:val="18"/>
      </w:rPr>
      <w:t xml:space="preserve">Augmenting Cognition at the Point of Care</w:t>
    </w:r>
    <w:r>
      <w:rPr>
        <w:rFonts w:ascii="Arial" w:cs="Arial" w:eastAsia="Arial" w:hAnsi="Arial"/>
        <w:sz w:val="18"/>
        <w:szCs w:val="18"/>
      </w:rPr>
      <w:t xml:space="preserve">	</w:t>
    </w:r>
    <w:r>
      <w:rPr>
        <w:rFonts w:ascii="Arial" w:cs="Arial" w:eastAsia="Arial" w:hAnsi="Arial"/>
        <w:color w:val="4A4A4A"/>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tabs>
        <w:tab w:val="right" w:pos="9026"/>
      </w:tabs>
    </w:pPr>
    <w:r>
      <w:rPr>
        <w:rFonts w:ascii="Arial" w:cs="Arial" w:eastAsia="Arial" w:hAnsi="Arial"/>
        <w:color w:val="4A4A4A"/>
        <w:sz w:val="18"/>
        <w:szCs w:val="18"/>
      </w:rPr>
      <w:t xml:space="preserve">Ukubona LLC  ·  Rare Impact Fund Application  ·  April 2026</w:t>
    </w:r>
    <w:r>
      <w:rPr>
        <w:rFonts w:ascii="Arial" w:cs="Arial" w:eastAsia="Arial" w:hAnsi="Arial"/>
        <w:sz w:val="18"/>
        <w:szCs w:val="18"/>
      </w:rPr>
      <w:t xml:space="preserve">	</w:t>
    </w:r>
    <w:r>
      <w:rPr>
        <w:rFonts w:ascii="Arial" w:cs="Arial" w:eastAsia="Arial" w:hAnsi="Arial"/>
        <w:b/>
        <w:bCs/>
        <w:color w:val="C8961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80" w:after="80"/>
      <w:outlineLvl w:val="1"/>
    </w:pPr>
    <w:rPr>
      <w:rFonts w:ascii="Arial" w:cs="Arial" w:eastAsia="Arial" w:hAnsi="Arial"/>
      <w:b/>
      <w:bCs/>
      <w:color w:val="0D7377"/>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2026-03-24T17:26:22.365Z</dcterms:created>
  <dcterms:modified xsi:type="dcterms:W3CDTF">2026-03-24T17:26:22.366Z</dcterms:modified>
</cp:coreProperties>
</file>

<file path=docProps/custom.xml><?xml version="1.0" encoding="utf-8"?>
<Properties xmlns="http://schemas.openxmlformats.org/officeDocument/2006/custom-properties" xmlns:vt="http://schemas.openxmlformats.org/officeDocument/2006/docPropsVTypes"/>
</file>