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double" w:color="1F3864" w:sz="6"/>
              <w:left w:val="none" w:color="FFFFFF" w:sz="0"/>
              <w:bottom w:val="double" w:color="1F3864" w:sz="6"/>
              <w:right w:val="none" w:color="FFFFFF" w:sz="0"/>
            </w:tcBorders>
            <w:tcMar>
              <w:top w:type="dxa" w:w="200"/>
              <w:bottom w:type="dxa" w:w="2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36"/>
                <w:szCs w:val="36"/>
              </w:rPr>
              <w:t xml:space="preserve">세빛섬·반포 수상푸드존 통합운영 사업 추진(안)</w:t>
            </w:r>
          </w:p>
        </w:tc>
      </w:tr>
    </w:tbl>
    <w:p>
      <w:pPr>
        <w:spacing w:after="40" w:before="120" w:line="300"/>
        <w:jc w:val="right"/>
      </w:pPr>
      <w:r>
        <w:rPr>
          <w:rFonts w:ascii="맑은 고딕" w:cs="맑은 고딕" w:eastAsia="맑은 고딕" w:hAnsi="맑은 고딕"/>
          <w:color w:val="595959"/>
          <w:sz w:val="20"/>
          <w:szCs w:val="20"/>
        </w:rPr>
        <w:t xml:space="preserve">20○○. ○. ○.  /  ○○팀</w:t>
      </w:r>
    </w:p>
    <w:p>
      <w:pPr>
        <w:spacing w:after="200" w:before="60" w:line="300"/>
        <w:jc w:val="right"/>
      </w:pP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※ ○○ : 수치 입력 필요  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[검토]</w:t>
      </w:r>
      <w:r>
        <w:rPr>
          <w:rFonts w:ascii="맑은 고딕" w:cs="맑은 고딕" w:eastAsia="맑은 고딕" w:hAnsi="맑은 고딕"/>
          <w:color w:val="595959"/>
          <w:sz w:val="18"/>
          <w:szCs w:val="18"/>
        </w:rPr>
        <w:t xml:space="preserve"> : 법률·협의 확인 필요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5F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100" w:before="60" w:line="30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3"/>
                <w:szCs w:val="23"/>
              </w:rPr>
              <w:t xml:space="preserve">【 보고 요지 】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서울시의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세빛섬 재공모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반포 수상푸드존 신규 공모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를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하나의 사업으로 묶어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당사가 통합 운영권 확보 추진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민간투자법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적용으로 운영기간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50년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확보 목표 (공유재산법 적용 시 최대 30년 대비 +20년)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당사 +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SH공사 지분 참여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SPC 구성, 총 사업가치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약 500억 원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규모</w:t>
            </w:r>
          </w:p>
          <w:p>
            <w:pPr>
              <w:spacing w:after="60" w:before="60" w:line="300"/>
              <w:ind w:left="0" w:hanging="30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○ 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당사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선납임차료(또는 위탁운영 대가)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 → 서울시가 </w:t>
            </w: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(주)세빛섬에 해지시지급금</w:t>
            </w: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으로 지급 → 소유권 市 이전 후 통합 운영 개시</w:t>
            </w:r>
          </w:p>
        </w:tc>
      </w:tr>
    </w:tbl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Ⅰ. 추진 배경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세빛섬 운영 구조 변경 예정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서울시–효성 간 협약 해지 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해지시지급금 지급 → 세빛섬 소유권 市 이전</w:t>
      </w:r>
      <w:r>
        <w:rPr>
          <w:rFonts w:ascii="맑은 고딕" w:cs="맑은 고딕" w:eastAsia="맑은 고딕" w:hAnsi="맑은 고딕"/>
          <w:sz w:val="22"/>
          <w:szCs w:val="22"/>
        </w:rPr>
        <w:t xml:space="preserve"> 추진 중</w:t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해지시지급금 발생 시 당사 간접 지원 가능성 有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이후 市가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공개경쟁입찰로 신규 사용자 모집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예정 → 당사 입찰 참여를 통한 운영권 확보 기회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선행 사례 :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영등포역 상업시설</w:t>
      </w:r>
      <w:r>
        <w:rPr>
          <w:rFonts w:ascii="맑은 고딕" w:cs="맑은 고딕" w:eastAsia="맑은 고딕" w:hAnsi="맑은 고딕"/>
          <w:sz w:val="22"/>
          <w:szCs w:val="22"/>
        </w:rPr>
        <w:t xml:space="preserve"> ('87 롯데 개발 → '17 국가 귀속 → '19 재공모, 롯데 재낙찰 / 최대 10년)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반포 수상푸드존 신규 조성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반포한강공원 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한강 대표 수상 미식 공간</w:t>
      </w:r>
      <w:r>
        <w:rPr>
          <w:rFonts w:ascii="맑은 고딕" w:cs="맑은 고딕" w:eastAsia="맑은 고딕" w:hAnsi="맑은 고딕"/>
          <w:sz w:val="22"/>
          <w:szCs w:val="22"/>
        </w:rPr>
        <w:t xml:space="preserve">으로 市가 신규 조성 중, 향후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운영자 공모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예상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세빛섬과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동일 권역(반포대교 인근)</w:t>
      </w:r>
      <w:r>
        <w:rPr>
          <w:rFonts w:ascii="맑은 고딕" w:cs="맑은 고딕" w:eastAsia="맑은 고딕" w:hAnsi="맑은 고딕"/>
          <w:sz w:val="22"/>
          <w:szCs w:val="22"/>
        </w:rPr>
        <w:t xml:space="preserve">에 위치 → 통합 운영 시 시너지 극대화 가능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통합 추진 필요성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개별 공모 대응 시 한계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공유재산법상 사용기간 최대 30년(기부채납 20년 + 재공모 10년), 개별 사업 규모로는 투자 회수 제약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통합 시 기대효과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반포 수변 관광벨트(세빛섬–수상푸드존–잠수교–무지개분수) 단일 운영 주체 확보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규모의 경제(공동 MD·마케팅·시설관리) 및 운영기간 장기화(50년)를 통한 사업성 제고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Ⅱ. 사업 대상 현황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세빛섬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위치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서초구 반포동 ○○ (반포한강공원)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규모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연면적 ○○㎡ (가빛섬·채빛섬·솔빛섬·예빛섬)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 운영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(주)세빛섬 (효성 등 출자)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 사용 조건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무상사용 ○○년 (～20○○)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이슈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市–효성 협약 해지 및 해지시지급금 규모 협의, 소유권 市 이전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반포 수상푸드존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사업개요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무지개분수 연계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체류형 야간명소화</w:t>
      </w:r>
      <w:r>
        <w:rPr>
          <w:rFonts w:ascii="맑은 고딕" w:cs="맑은 고딕" w:eastAsia="맑은 고딕" w:hAnsi="맑은 고딕"/>
          <w:sz w:val="21"/>
          <w:szCs w:val="21"/>
        </w:rPr>
        <w:t xml:space="preserve"> (식사·음악 등)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잠수교·세빛섬 등 반포한강공원 자원을 활용한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반포 수변 관광벨트</w:t>
      </w:r>
      <w:r>
        <w:rPr>
          <w:rFonts w:ascii="맑은 고딕" w:cs="맑은 고딕" w:eastAsia="맑은 고딕" w:hAnsi="맑은 고딕"/>
          <w:sz w:val="21"/>
          <w:szCs w:val="21"/>
        </w:rPr>
        <w:t xml:space="preserve"> 조성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위치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서초구 반포동 647 (반포대교로부터 상류 250m)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규모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지상 2층, 연면적 2,797㎡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구성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음식 판매(10개소), 계류시설(10선석), </w:t>
            </w: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한강버스 선착장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, 전망/식음 공간 등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사업비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276억 원 (市 재정)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추진경과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투자심사('24. 9.), 공유재산심의('24. 10.)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추진일정</w:t>
            </w:r>
          </w:p>
        </w:tc>
        <w:tc>
          <w:tcPr>
            <w:tcW w:type="dxa" w:w="77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디자인 심의('26. 3.), 공사 시행('26. 10. ～ '27. 12.)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한강버스 선착장 입지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 → 고정 유동인구 확보 및 세빛섬 접근성 개선 효과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준공('27. 12.) 전후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운영자 공모</w:t>
      </w:r>
      <w:r>
        <w:rPr>
          <w:rFonts w:ascii="맑은 고딕" w:cs="맑은 고딕" w:eastAsia="맑은 고딕" w:hAnsi="맑은 고딕"/>
          <w:sz w:val="22"/>
          <w:szCs w:val="22"/>
        </w:rPr>
        <w:t xml:space="preserve"> 예상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Ⅲ. 사업 구조(안)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기본 구조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사업 방식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민간투자법에 따른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복합 민간투자사업</w:t>
      </w:r>
      <w:r>
        <w:rPr>
          <w:rFonts w:ascii="맑은 고딕" w:cs="맑은 고딕" w:eastAsia="맑은 고딕" w:hAnsi="맑은 고딕"/>
          <w:sz w:val="22"/>
          <w:szCs w:val="22"/>
        </w:rPr>
        <w:t xml:space="preserve"> (세빛섬 개량·운영 + 수상푸드존 운영)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세빛섬 : 기존시설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개량·운영형(ROT 등)</w:t>
      </w:r>
      <w:r>
        <w:rPr>
          <w:rFonts w:ascii="맑은 고딕" w:cs="맑은 고딕" w:eastAsia="맑은 고딕" w:hAnsi="맑은 고딕"/>
          <w:sz w:val="21"/>
          <w:szCs w:val="21"/>
        </w:rPr>
        <w:t xml:space="preserve"> 적용 검토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수상푸드존 :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관리운영권 설정</w:t>
      </w:r>
      <w:r>
        <w:rPr>
          <w:rFonts w:ascii="맑은 고딕" w:cs="맑은 고딕" w:eastAsia="맑은 고딕" w:hAnsi="맑은 고딕"/>
          <w:sz w:val="21"/>
          <w:szCs w:val="21"/>
        </w:rPr>
        <w:t xml:space="preserve"> 또는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위탁운영</w:t>
      </w:r>
      <w:r>
        <w:rPr>
          <w:rFonts w:ascii="맑은 고딕" w:cs="맑은 고딕" w:eastAsia="맑은 고딕" w:hAnsi="맑은 고딕"/>
          <w:sz w:val="21"/>
          <w:szCs w:val="21"/>
        </w:rPr>
        <w:t xml:space="preserve"> 방식 검토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운영기간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50년</w:t>
      </w:r>
      <w:r>
        <w:rPr>
          <w:rFonts w:ascii="맑은 고딕" w:cs="맑은 고딕" w:eastAsia="맑은 고딕" w:hAnsi="맑은 고딕"/>
          <w:sz w:val="22"/>
          <w:szCs w:val="22"/>
        </w:rPr>
        <w:t xml:space="preserve"> (민투법상 관리운영권 설정 기간 근거 확보 필요)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사업 주체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당사 + SH공사 공동출자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SPC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1818"/>
        <w:gridCol w:w="5456"/>
      </w:tblGrid>
      <w:tr>
        <w:trPr>
          <w:tblHeader/>
        </w:trP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출자자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지분율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당사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사업 총괄, MD 기획, 운영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SH공사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공공성 확보, 인허가·市 협의 지원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기타 (FI 등)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재무적 투자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자금 흐름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DEEA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당사 / SPC</w:t>
            </w:r>
          </w:p>
        </w:tc>
      </w:tr>
    </w:tbl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▼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선납임차료 또는 위탁운영 대가 (○○억 원)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FFF2C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서울시</w:t>
            </w:r>
          </w:p>
        </w:tc>
      </w:tr>
    </w:tbl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▼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해지시지급금 지급 (○○억 원)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DED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(주)세빛섬</w:t>
            </w:r>
          </w:p>
        </w:tc>
      </w:tr>
    </w:tbl>
    <w:p>
      <w:pPr>
        <w:spacing w:after="40" w:before="4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22"/>
          <w:szCs w:val="22"/>
        </w:rPr>
        <w:t xml:space="preserve">▼  </w:t>
      </w:r>
      <w:r>
        <w:rPr>
          <w:rFonts w:ascii="맑은 고딕" w:cs="맑은 고딕" w:eastAsia="맑은 고딕" w:hAnsi="맑은 고딕"/>
          <w:color w:val="404040"/>
          <w:sz w:val="19"/>
          <w:szCs w:val="19"/>
        </w:rPr>
        <w:t xml:space="preserve">세빛섬 소유권 市 이전</w:t>
      </w:r>
    </w:p>
    <w:tbl>
      <w:tblPr>
        <w:tblW w:type="dxa" w:w="52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DEEAF6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당사 / SPC : 세빛섬 + 수상푸드존 통합 운영권 50년</w:t>
            </w:r>
          </w:p>
        </w:tc>
      </w:tr>
    </w:tbl>
    <w:p>
      <w:pPr>
        <w:spacing w:after="60" w:before="6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市 입장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추가 재정 부담 없이 해지시지급금 재원 확보 + 시설 운영 정상화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당사 입장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선납 대가로 장기(50년) 운영권 확보 및 반포 권역 선점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제도 적용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855"/>
        <w:gridCol w:w="3856"/>
      </w:tblGrid>
      <w:tr>
        <w:trPr>
          <w:tblHeader/>
        </w:trP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공유재산법 (기존 경로)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민간투자법 (추진 경로)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운영기간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최대 30년 (기부채납 20년 + 재공모 10년)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 (목표)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사용료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조례상 요율 (재산가액 1～5%)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실시협약으로 결정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절차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공개경쟁입찰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민간제안 → 적격성 조사 → 제3자 공고 → 협상 → 실시협약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장점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절차 단순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장기 운영, 협약 기반 안정성</w:t>
            </w:r>
          </w:p>
        </w:tc>
      </w:tr>
      <w:tr>
        <w:tc>
          <w:tcPr>
            <w:tcW w:type="dxa" w:w="19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단점</w:t>
            </w:r>
          </w:p>
        </w:tc>
        <w:tc>
          <w:tcPr>
            <w:tcW w:type="dxa" w:w="38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기간 짧아 투자 회수 제약</w:t>
            </w:r>
          </w:p>
        </w:tc>
        <w:tc>
          <w:tcPr>
            <w:tcW w:type="dxa" w:w="38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절차 장기화, 적용 요건 충족 필요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Ⅳ. 사업성 검토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반포 수상푸드존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5"/>
        <w:gridCol w:w="1554"/>
        <w:gridCol w:w="1554"/>
        <w:gridCol w:w="1554"/>
        <w:gridCol w:w="3111"/>
      </w:tblGrid>
      <w:tr>
        <w:trPr>
          <w:tblHeader/>
        </w:trP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1년차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5년차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10년차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매출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F&amp;B 10개소, 계류시설, 선착장 연계</w:t>
            </w:r>
          </w:p>
        </w:tc>
      </w:tr>
      <w:t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영업비용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86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영업이익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5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11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영업이익률 ○○%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60" w:line="300"/>
        <w:ind w:left="900" w:hanging="260"/>
      </w:pPr>
      <w:r>
        <w:rPr>
          <w:rFonts w:ascii="맑은 고딕" w:cs="맑은 고딕" w:eastAsia="맑은 고딕" w:hAnsi="맑은 고딕"/>
          <w:sz w:val="19"/>
          <w:szCs w:val="19"/>
        </w:rPr>
        <w:t xml:space="preserve">※ </w:t>
      </w:r>
      <w:r>
        <w:rPr>
          <w:rFonts w:ascii="맑은 고딕" w:cs="맑은 고딕" w:eastAsia="맑은 고딕" w:hAnsi="맑은 고딕"/>
          <w:sz w:val="19"/>
          <w:szCs w:val="19"/>
        </w:rPr>
        <w:t xml:space="preserve">주요 가정 : 일 방문객 ○○명(한강버스 이용객 ○○% 유입), 객단가 ○○원, 임대료율 ○○%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세빛섬 (50년 운영 기준)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1818"/>
        <w:gridCol w:w="1818"/>
        <w:gridCol w:w="3638"/>
      </w:tblGrid>
      <w:tr>
        <w:trPr>
          <w:tblHeader/>
        </w:trP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현재(추정)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리뉴얼 후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 매출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컨벤션·F&amp;B·웨딩·문화공간 등</w:t>
            </w: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 영업이익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2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 누적 영업이익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통합 사업성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7"/>
        <w:gridCol w:w="2536"/>
        <w:gridCol w:w="3805"/>
      </w:tblGrid>
      <w:tr>
        <w:trPr>
          <w:tblHeader/>
        </w:trP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 / 지표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총 투자비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Ⅴ-3. 소요 재원 참조</w:t>
            </w: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 누적 매출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50년 누적 영업이익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NPV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할인율 ○○%</w:t>
            </w: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IRR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○○%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투자회수기간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○○년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29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총 사업가치</w:t>
            </w:r>
          </w:p>
        </w:tc>
        <w:tc>
          <w:tcPr>
            <w:tcW w:type="dxa" w:w="253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약 500억 원</w:t>
            </w:r>
          </w:p>
        </w:tc>
        <w:tc>
          <w:tcPr>
            <w:tcW w:type="dxa" w:w="380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통합 시너지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공동 운영비 절감 ○○억/년, 교차 방문 매출 증대 ○○억/년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민감도 분석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운영기간(30년 vs 50년), 방문객 ±○○%, 해지시지급금 규모별 시나리오</w:t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Ⅴ. 향후 추진계획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통합 MD 계획 수립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컨셉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세빛섬(복합문화·컨벤션) + 수상푸드존(식음·야간명소) 연계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반포 수변 데스티네이션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주요 내용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시설별 역할 분담 및 테넌트 구성 (F&amp;B / 문화·전시 / 웨딩·컨벤션 / 리테일)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한강버스 선착장 ↔ 수상푸드존 ↔ 세빛섬</w:t>
      </w:r>
      <w:r>
        <w:rPr>
          <w:rFonts w:ascii="맑은 고딕" w:cs="맑은 고딕" w:eastAsia="맑은 고딕" w:hAnsi="맑은 고딕"/>
          <w:sz w:val="21"/>
          <w:szCs w:val="21"/>
        </w:rPr>
        <w:t xml:space="preserve"> 동선 설계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무지개분수 연계 야간 콘텐츠, 계절별 이벤트 운영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통합 브랜딩 및 공동 마케팅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민간투자법 적용 협의 (서울시)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협의 대상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서울시(미래한강본부 등), SH공사, (주)세빛섬(효성)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협의 사항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민투법 대상시설 해당 여부 및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복합개발(세빛섬+수상푸드존) 묶음 추진</w:t>
      </w:r>
      <w:r>
        <w:rPr>
          <w:rFonts w:ascii="맑은 고딕" w:cs="맑은 고딕" w:eastAsia="맑은 고딕" w:hAnsi="맑은 고딕"/>
          <w:sz w:val="21"/>
          <w:szCs w:val="21"/>
        </w:rPr>
        <w:t xml:space="preserve"> 가능 여부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관리운영권 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50년 설정 근거</w:t>
      </w:r>
      <w:r>
        <w:rPr>
          <w:rFonts w:ascii="맑은 고딕" w:cs="맑은 고딕" w:eastAsia="맑은 고딕" w:hAnsi="맑은 고딕"/>
          <w:sz w:val="21"/>
          <w:szCs w:val="21"/>
        </w:rPr>
        <w:t xml:space="preserve"> 및 사업방식(ROT 등)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선납임차료 → 해지시지급금 재원 연계 방안 (市 세입·세출 처리 구조)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</w:rPr>
        <w:t xml:space="preserve"> [검토]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공모 방식 및 당사 제안 우선권(민간제안사업) 확보 방안</w:t>
      </w:r>
    </w:p>
    <w:p>
      <w:pPr>
        <w:spacing w:after="60" w:before="60" w:line="300"/>
        <w:ind w:left="680" w:hanging="220"/>
      </w:pPr>
      <w:r>
        <w:rPr>
          <w:rFonts w:ascii="맑은 고딕" w:cs="맑은 고딕" w:eastAsia="맑은 고딕" w:hAnsi="맑은 고딕"/>
          <w:sz w:val="21"/>
          <w:szCs w:val="21"/>
        </w:rPr>
        <w:t xml:space="preserve">- </w:t>
      </w:r>
      <w:r>
        <w:rPr>
          <w:rFonts w:ascii="맑은 고딕" w:cs="맑은 고딕" w:eastAsia="맑은 고딕" w:hAnsi="맑은 고딕"/>
          <w:sz w:val="21"/>
          <w:szCs w:val="21"/>
        </w:rPr>
        <w:t xml:space="preserve">SH공사 지분 참여 구조 및 역할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법률 자문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민투법·공유재산법 전문 법무법인 자문 (○○월)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소요 재원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1"/>
        <w:gridCol w:w="2294"/>
        <w:gridCol w:w="3673"/>
      </w:tblGrid>
      <w:tr>
        <w:trPr>
          <w:tblHeader/>
        </w:trP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금액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선납임차료 / 위탁운영 대가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해지시지급금 재원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세빛섬 리모델링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노후 설비 개선, 공간 재구성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MD 개편·인테리어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세빛섬 + 수상푸드존</w:t>
            </w: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초기 운영비·마케팅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인허가·자문·기타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36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29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○○억</w:t>
            </w:r>
          </w:p>
        </w:tc>
        <w:tc>
          <w:tcPr>
            <w:tcW w:type="dxa" w:w="367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당사 부담분 ○○억 (지분율 ○○%)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조달 계획</w:t>
      </w:r>
      <w:r>
        <w:rPr>
          <w:rFonts w:ascii="맑은 고딕" w:cs="맑은 고딕" w:eastAsia="맑은 고딕" w:hAnsi="맑은 고딕"/>
          <w:sz w:val="22"/>
          <w:szCs w:val="22"/>
        </w:rPr>
        <w:t xml:space="preserve"> : 자기자본 ○○억 + SH 출자 ○○억 + 차입(PF 등) ○○억</w:t>
      </w:r>
    </w:p>
    <w:p>
      <w:pPr>
        <w:keepNext/>
        <w:spacing w:after="80" w:before="200" w:line="300"/>
        <w:ind w:left="0" w:hanging="340"/>
      </w:pP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□ </w:t>
      </w:r>
      <w:r>
        <w:rPr>
          <w:rFonts w:ascii="맑은 고딕" w:cs="맑은 고딕" w:eastAsia="맑은 고딕" w:hAnsi="맑은 고딕"/>
          <w:b/>
          <w:bCs/>
          <w:sz w:val="24"/>
          <w:szCs w:val="24"/>
        </w:rPr>
        <w:t xml:space="preserve">추진 일정(안)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시기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주요 내용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20○○. ○.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내부 보고 및 사업 추진 결정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20○○. ○.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서울시·SH 사전 협의, 법률 자문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20○○. ○.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MD 계획 및 사업계획 수립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20○○. ○.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민간제안서 제출 / 공모 대응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20○○. ○.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실시협약 체결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'27. 12.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수상푸드존 준공</w:t>
            </w:r>
          </w:p>
        </w:tc>
      </w:tr>
      <w:tr>
        <w:tc>
          <w:tcPr>
            <w:tcW w:type="dxa" w:w="24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20○○. ○.</w:t>
            </w:r>
          </w:p>
        </w:tc>
        <w:tc>
          <w:tcPr>
            <w:tcW w:type="dxa" w:w="72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통합 운영 개시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Ⅵ. 리스크 및 대응방안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3084"/>
        <w:gridCol w:w="4241"/>
      </w:tblGrid>
      <w:tr>
        <w:trPr>
          <w:tblHeader/>
        </w:trP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리스크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내용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대응방안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민투법 적용 불인정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50년 운영기간 확보 불가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공유재산법 경로(최대 30년) 대안 사업성 병행 검토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공모 경쟁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타 사업자 참여로 낙찰 불확실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민간제안 선제 추진, SH 참여로 공공성 차별화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해지시지급금 규모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市–효성 협상 결과에 따라 선납액 변동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시나리오별 사업성 검토, 상한선 설정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푸드존 준공 지연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'27. 12. 준공 일정 지연 가능성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운영 개시 (세빛섬 선행)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한강버스 수요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이용객 수요 불확실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보수적 방문객 가정 적용</w:t>
            </w:r>
          </w:p>
        </w:tc>
      </w:tr>
      <w:tr>
        <w:tc>
          <w:tcPr>
            <w:tcW w:type="dxa" w:w="23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공공성 논란</w:t>
            </w:r>
          </w:p>
        </w:tc>
        <w:tc>
          <w:tcPr>
            <w:tcW w:type="dxa" w:w="308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장기 독점 운영 비판 가능성</w:t>
            </w:r>
          </w:p>
        </w:tc>
        <w:tc>
          <w:tcPr>
            <w:tcW w:type="dxa" w:w="42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시민 개방공간·공공 프로그램 운영 약속</w:t>
            </w:r>
          </w:p>
        </w:tc>
      </w:tr>
    </w:tbl>
    <w:p>
      <w:pPr>
        <w:spacing w:after="60" w:before="0" w:line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/>
      </w:r>
    </w:p>
    <w:p>
      <w:pPr>
        <w:keepNext/>
        <w:pBdr>
          <w:bottom w:val="single" w:color="1F3864" w:sz="12" w:space="4"/>
        </w:pBdr>
        <w:spacing w:after="120" w:before="360" w:line="3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Ⅶ. 결론 및 요청사항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세빛섬·반포 수상푸드존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통합 운영권(50년) 확보</w:t>
      </w:r>
      <w:r>
        <w:rPr>
          <w:rFonts w:ascii="맑은 고딕" w:cs="맑은 고딕" w:eastAsia="맑은 고딕" w:hAnsi="맑은 고딕"/>
          <w:sz w:val="22"/>
          <w:szCs w:val="22"/>
        </w:rPr>
        <w:t xml:space="preserve">를 목표로 사업 추진 승인 요청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서울시·SH공사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사전 협의 착수</w:t>
      </w:r>
      <w:r>
        <w:rPr>
          <w:rFonts w:ascii="맑은 고딕" w:cs="맑은 고딕" w:eastAsia="맑은 고딕" w:hAnsi="맑은 고딕"/>
          <w:sz w:val="22"/>
          <w:szCs w:val="22"/>
        </w:rPr>
        <w:t xml:space="preserve"> 및 </w:t>
      </w: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법률 자문 예산(○○백만 원)</w:t>
      </w:r>
      <w:r>
        <w:rPr>
          <w:rFonts w:ascii="맑은 고딕" w:cs="맑은 고딕" w:eastAsia="맑은 고딕" w:hAnsi="맑은 고딕"/>
          <w:sz w:val="22"/>
          <w:szCs w:val="22"/>
        </w:rPr>
        <w:t xml:space="preserve"> 승인 요청</w:t>
      </w:r>
    </w:p>
    <w:p>
      <w:pPr>
        <w:spacing w:after="60" w:before="80" w:line="300"/>
        <w:ind w:left="340" w:hanging="300"/>
      </w:pPr>
      <w:r>
        <w:rPr>
          <w:rFonts w:ascii="맑은 고딕" w:cs="맑은 고딕" w:eastAsia="맑은 고딕" w:hAnsi="맑은 고딕"/>
          <w:sz w:val="22"/>
          <w:szCs w:val="22"/>
        </w:rPr>
        <w:t xml:space="preserve">○ </w:t>
      </w:r>
      <w:r>
        <w:rPr>
          <w:rFonts w:ascii="맑은 고딕" w:cs="맑은 고딕" w:eastAsia="맑은 고딕" w:hAnsi="맑은 고딕"/>
          <w:sz w:val="22"/>
          <w:szCs w:val="22"/>
        </w:rPr>
        <w:t xml:space="preserve">전담 TF 구성 (○○팀 주관, 재무·법무·MD 참여)</w:t>
      </w:r>
    </w:p>
    <w:p>
      <w:pPr>
        <w:spacing w:after="60" w:before="400" w:line="3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붙임</w:t>
      </w:r>
    </w:p>
    <w:p>
      <w:pPr>
        <w:spacing w:after="60" w:before="60" w:line="300"/>
        <w:ind w:left="200" w:hanging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1.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세빛섬 인수 변경안 (기존 검토자료)</w:t>
      </w:r>
    </w:p>
    <w:p>
      <w:pPr>
        <w:spacing w:after="60" w:before="60" w:line="300"/>
        <w:ind w:left="200" w:hanging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 </w:t>
      </w:r>
      <w:r>
        <w:rPr>
          <w:rFonts w:ascii="맑은 고딕" w:cs="맑은 고딕" w:eastAsia="맑은 고딕" w:hAnsi="맑은 고딕"/>
          <w:sz w:val="20"/>
          <w:szCs w:val="20"/>
        </w:rPr>
        <w:t xml:space="preserve">반포 수상푸드존 조감도 및 사업개요 (서울시 자료)</w:t>
      </w:r>
    </w:p>
    <w:p>
      <w:pPr>
        <w:spacing w:after="60" w:before="60" w:line="300"/>
        <w:ind w:left="200" w:hanging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3. </w:t>
      </w:r>
      <w:r>
        <w:rPr>
          <w:rFonts w:ascii="맑은 고딕" w:cs="맑은 고딕" w:eastAsia="맑은 고딕" w:hAnsi="맑은 고딕"/>
          <w:sz w:val="20"/>
          <w:szCs w:val="20"/>
        </w:rPr>
        <w:t xml:space="preserve">사업성 분석 세부 내역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2026-09-28T05:40:52.884Z</dcterms:created>
  <dcterms:modified xsi:type="dcterms:W3CDTF">2026-09-28T05:40:52.884Z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