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REMARK Checklist — Putative Prognostic Biomarker Analyses</w:t>
      </w:r>
    </w:p>
    <w:p>
      <w:r>
        <w:t>Completed checklist for tumour marker prognostic studies (REMARK). Corresponding manuscript sections are indicated for each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Reported in manuscript / Supplementary Information</w:t>
            </w:r>
          </w:p>
        </w:tc>
      </w:tr>
      <w:tr>
        <w:tc>
          <w:tcPr>
            <w:tcW w:type="dxa" w:w="4320"/>
          </w:tcPr>
          <w:p>
            <w:r>
              <w:t>INTRODUCTION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Marker examined: DNA methylation (EPIC array β-values) at gene/probe level integrated with mRNA and protein; six putative prognostic biomarkers (B4GALT1, EGFR, VASP, GFPT2, PHF11, TSPYL5). Objectives: describe the correlative methylation–mRNA–protein pattern and prioritise prognostic candidates. Pre-specified hypotheses: not formally pre-registered; biomarker survival associations are putative.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Study design: retrospective integrative analysis of public TCGA-CPTAC matched multi-omics (n=97) with external directional validation in GEO GSE7696 (n=80) and GSE230770 (n=51).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Patient population: IDH-wild-type GB patients with complete methylation, mRNA and protein data in TCGA-CPTAC; de-identified public data.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Variables: age, sex, overall survival; methylation β-values, mRNA FPKM, protein z-scores; MGMT/EGFR genetic variables where available.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Assay methods: Illumina EPIC methylation; CPTAC proteogenomics RNA/protein quantification. Details in Methods and GitHub code repository.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Case selection: retrospective cohort from TCGA-CPTAC with complete tri-omics data; external cohorts pre-selected from GEO.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Treatment: not harmonised across public cohorts; acknowledged as limitation.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Outcome: overall survival; log-rank and Cox models (age/sex adjusted).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Sample size: n=97 discovery; external cohorts n=80 and n=51. No formal power calculation for biomarker detection.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Missing data: features &gt;50% missing excluded; remaining values median-imputed.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Univariate and multivariate analyses reported; secondary gene-wide scans without multiplicity correction (uncorrected p-values stated).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REMARK profile: Part A—97 patients, age/sex adjusted; Part B—Kaplan–Meier by methylation strata (β&gt;0.7 vs ≤0.7), Cox HRs with 95% CI.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Effect estimates: hazard ratios, median survival differences, Spearman correlations with p-values/FDR as reported.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Validation: internal 70/30 split and external directional concordance in GEO cohorts.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Interpretation accounts for a single discovery cohort and the putative status of the biomarkers.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Limitations: no plasma/CSF validation; treatment heterogeneity; imputation; limited external sample size.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Clinical utility not established; biomarkers require prospective clinical validation.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Data/code availability: TCGA/CPTAC/GEO public access; GitHub repository listed in manuscript.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Ethics: de-identified public data; Declaration of Helsinki statement in Additional Information.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Funding and competing interests declared in Additional Information.</w:t>
            </w:r>
          </w:p>
        </w:tc>
      </w:tr>
    </w:tbl>
    <w:p/>
    <w:p>
      <w:r>
        <w:t>Reference: McShane LM, Altman DG, Sauerbrei W, et al. Reporting recommendations for tumour marker prognostic studies (REMARK). Br J Cancer 2005;93:387–391.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