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Times New Roman" w:hAnsi="Times New Roman" w:eastAsia="Times New Roman"/>
          <w:b/>
          <w:i w:val="0"/>
          <w:sz w:val="32"/>
        </w:rPr>
        <w:t>Supplementary Methods</w:t>
      </w:r>
    </w:p>
    <w:p>
      <w:pPr>
        <w:spacing w:after="160" w:before="0" w:line="276" w:lineRule="auto"/>
        <w:jc w:val="center"/>
      </w:pPr>
      <w:r>
        <w:rPr>
          <w:rFonts w:ascii="Times New Roman" w:hAnsi="Times New Roman" w:eastAsia="Times New Roman"/>
          <w:b w:val="0"/>
          <w:i/>
          <w:sz w:val="22"/>
        </w:rPr>
        <w:t>Integrative DNA Methylation, Transcriptomic and Proteomic Analysis of Multi-omics Patterns and Putative Prognostic Biomarkers in Glioblastoma</w:t>
      </w:r>
    </w:p>
    <w:p>
      <w:pPr>
        <w:spacing w:after="240" w:before="0" w:line="276" w:lineRule="auto"/>
      </w:pPr>
      <w:r>
        <w:rPr>
          <w:rFonts w:ascii="Times New Roman" w:hAnsi="Times New Roman" w:eastAsia="Times New Roman"/>
          <w:b w:val="0"/>
          <w:i w:val="0"/>
          <w:sz w:val="20"/>
        </w:rPr>
        <w:t>Methods are numbered M1–M14 in the same order as the main-text Methods subsections. Use these identifiers for in-text citation (e.g. Supplementary Methods M5).</w:t>
      </w:r>
    </w:p>
    <w:p>
      <w:pPr>
        <w:spacing w:after="120" w:before="80" w:line="276" w:lineRule="auto"/>
      </w:pPr>
      <w:r>
        <w:rPr>
          <w:rFonts w:ascii="Times New Roman" w:hAnsi="Times New Roman" w:eastAsia="Times New Roman"/>
          <w:b/>
          <w:i w:val="0"/>
          <w:sz w:val="26"/>
        </w:rPr>
        <w:t>1. Numbered methods list (manuscript order)</w:t>
      </w:r>
    </w:p>
    <w:p>
      <w:pPr>
        <w:spacing w:after="160" w:before="0" w:line="276" w:lineRule="auto"/>
      </w:pPr>
      <w:r>
        <w:rPr>
          <w:rFonts w:ascii="Times New Roman" w:hAnsi="Times New Roman" w:eastAsia="Times New Roman"/>
          <w:b w:val="0"/>
          <w:i w:val="0"/>
          <w:sz w:val="20"/>
        </w:rPr>
        <w:t>Order below follows the main manuscript Methods headings from first to last.</w:t>
      </w:r>
    </w:p>
    <w:p>
      <w:pPr>
        <w:spacing w:after="80" w:before="0" w:line="276" w:lineRule="auto"/>
      </w:pPr>
      <w:r>
        <w:rPr>
          <w:rFonts w:ascii="Times New Roman" w:hAnsi="Times New Roman" w:eastAsia="Times New Roman"/>
          <w:b/>
          <w:i w:val="0"/>
          <w:sz w:val="20"/>
        </w:rPr>
        <w:t>No.    Method                                      Main-text Methods heading</w:t>
      </w:r>
    </w:p>
    <w:p>
      <w:pPr>
        <w:spacing w:after="40" w:before="0" w:line="276" w:lineRule="auto"/>
      </w:pPr>
      <w:r>
        <w:rPr>
          <w:rFonts w:ascii="Times New Roman" w:hAnsi="Times New Roman" w:eastAsia="Times New Roman"/>
          <w:b w:val="0"/>
          <w:i w:val="0"/>
          <w:sz w:val="20"/>
        </w:rPr>
        <w:t>M1.  Data cohort and preprocessing  —  Data and cohort</w:t>
      </w:r>
    </w:p>
    <w:p>
      <w:pPr>
        <w:spacing w:after="40" w:before="0" w:line="276" w:lineRule="auto"/>
      </w:pPr>
      <w:r>
        <w:rPr>
          <w:rFonts w:ascii="Times New Roman" w:hAnsi="Times New Roman" w:eastAsia="Times New Roman"/>
          <w:b w:val="0"/>
          <w:i w:val="0"/>
          <w:sz w:val="20"/>
        </w:rPr>
        <w:t>M2.  External and internal validation  —  External validation</w:t>
      </w:r>
    </w:p>
    <w:p>
      <w:pPr>
        <w:spacing w:after="40" w:before="0" w:line="276" w:lineRule="auto"/>
      </w:pPr>
      <w:r>
        <w:rPr>
          <w:rFonts w:ascii="Times New Roman" w:hAnsi="Times New Roman" w:eastAsia="Times New Roman"/>
          <w:b w:val="0"/>
          <w:i w:val="0"/>
          <w:sz w:val="20"/>
        </w:rPr>
        <w:t>M3.  Software  —  Software</w:t>
      </w:r>
    </w:p>
    <w:p>
      <w:pPr>
        <w:spacing w:after="40" w:before="0" w:line="276" w:lineRule="auto"/>
      </w:pPr>
      <w:r>
        <w:rPr>
          <w:rFonts w:ascii="Times New Roman" w:hAnsi="Times New Roman" w:eastAsia="Times New Roman"/>
          <w:b w:val="0"/>
          <w:i w:val="0"/>
          <w:sz w:val="20"/>
        </w:rPr>
        <w:t>M4.  Methylation–protein discordance classification  —  Discordance analysis</w:t>
      </w:r>
    </w:p>
    <w:p>
      <w:pPr>
        <w:spacing w:after="40" w:before="0" w:line="276" w:lineRule="auto"/>
      </w:pPr>
      <w:r>
        <w:rPr>
          <w:rFonts w:ascii="Times New Roman" w:hAnsi="Times New Roman" w:eastAsia="Times New Roman"/>
          <w:b w:val="0"/>
          <w:i w:val="0"/>
          <w:sz w:val="20"/>
        </w:rPr>
        <w:t>M5.  Liquid biopsy Detectability, Prognostic and Liquid Biopsy Scores  —  Liquid biopsy candidate prioritisation</w:t>
      </w:r>
    </w:p>
    <w:p>
      <w:pPr>
        <w:spacing w:after="40" w:before="0" w:line="276" w:lineRule="auto"/>
      </w:pPr>
      <w:r>
        <w:rPr>
          <w:rFonts w:ascii="Times New Roman" w:hAnsi="Times New Roman" w:eastAsia="Times New Roman"/>
          <w:b w:val="0"/>
          <w:i w:val="0"/>
          <w:sz w:val="20"/>
        </w:rPr>
        <w:t>M6.  Age–sex methylation analysis  —  Age–sex analysis</w:t>
      </w:r>
    </w:p>
    <w:p>
      <w:pPr>
        <w:spacing w:after="40" w:before="0" w:line="276" w:lineRule="auto"/>
      </w:pPr>
      <w:r>
        <w:rPr>
          <w:rFonts w:ascii="Times New Roman" w:hAnsi="Times New Roman" w:eastAsia="Times New Roman"/>
          <w:b w:val="0"/>
          <w:i w:val="0"/>
          <w:sz w:val="20"/>
        </w:rPr>
        <w:t>M7.  Tumour purity estimation  —  Tumour purity analysis</w:t>
      </w:r>
    </w:p>
    <w:p>
      <w:pPr>
        <w:spacing w:after="40" w:before="0" w:line="276" w:lineRule="auto"/>
      </w:pPr>
      <w:r>
        <w:rPr>
          <w:rFonts w:ascii="Times New Roman" w:hAnsi="Times New Roman" w:eastAsia="Times New Roman"/>
          <w:b w:val="0"/>
          <w:i w:val="0"/>
          <w:sz w:val="20"/>
        </w:rPr>
        <w:t>M8.  Biomarker discovery and Biomarker Score  —  Biomarker discovery</w:t>
      </w:r>
    </w:p>
    <w:p>
      <w:pPr>
        <w:spacing w:after="40" w:before="0" w:line="276" w:lineRule="auto"/>
      </w:pPr>
      <w:r>
        <w:rPr>
          <w:rFonts w:ascii="Times New Roman" w:hAnsi="Times New Roman" w:eastAsia="Times New Roman"/>
          <w:b w:val="0"/>
          <w:i w:val="0"/>
          <w:sz w:val="20"/>
        </w:rPr>
        <w:t>M9.  Survival analysis (Kaplan–Meier, log-rank, Cox)  —  Biomarker discovery (survival testing)</w:t>
      </w:r>
    </w:p>
    <w:p>
      <w:pPr>
        <w:spacing w:after="40" w:before="0" w:line="276" w:lineRule="auto"/>
      </w:pPr>
      <w:r>
        <w:rPr>
          <w:rFonts w:ascii="Times New Roman" w:hAnsi="Times New Roman" w:eastAsia="Times New Roman"/>
          <w:b w:val="0"/>
          <w:i w:val="0"/>
          <w:sz w:val="20"/>
        </w:rPr>
        <w:t>M10.  Multi-omics correlation analysis and multi-omics pattern index (MOP_g)  —  Multi-omics correlation analysis</w:t>
      </w:r>
    </w:p>
    <w:p>
      <w:pPr>
        <w:spacing w:after="40" w:before="0" w:line="276" w:lineRule="auto"/>
      </w:pPr>
      <w:r>
        <w:rPr>
          <w:rFonts w:ascii="Times New Roman" w:hAnsi="Times New Roman" w:eastAsia="Times New Roman"/>
          <w:b w:val="0"/>
          <w:i w:val="0"/>
          <w:sz w:val="20"/>
        </w:rPr>
        <w:t>M11.  Spearman correlation and multiple-testing correction  —  Statistics and reproducibility (cross-cutting)</w:t>
      </w:r>
    </w:p>
    <w:p>
      <w:pPr>
        <w:spacing w:after="40" w:before="0" w:line="276" w:lineRule="auto"/>
      </w:pPr>
      <w:r>
        <w:rPr>
          <w:rFonts w:ascii="Times New Roman" w:hAnsi="Times New Roman" w:eastAsia="Times New Roman"/>
          <w:b w:val="0"/>
          <w:i w:val="0"/>
          <w:sz w:val="20"/>
        </w:rPr>
        <w:t>M12.  Pathway enrichment (DAVID / Gene Ontology)  —  Discordance analysis / multi-omics pattern (enrichment)</w:t>
      </w:r>
    </w:p>
    <w:p>
      <w:pPr>
        <w:spacing w:after="40" w:before="0" w:line="276" w:lineRule="auto"/>
      </w:pPr>
      <w:r>
        <w:rPr>
          <w:rFonts w:ascii="Times New Roman" w:hAnsi="Times New Roman" w:eastAsia="Times New Roman"/>
          <w:b w:val="0"/>
          <w:i w:val="0"/>
          <w:sz w:val="20"/>
        </w:rPr>
        <w:t>M13.  Statistical analysis plan and REMARK reporting  —  Statistics and reproducibility</w:t>
      </w:r>
    </w:p>
    <w:p>
      <w:pPr>
        <w:spacing w:after="40" w:before="0" w:line="276" w:lineRule="auto"/>
      </w:pPr>
      <w:r>
        <w:rPr>
          <w:rFonts w:ascii="Times New Roman" w:hAnsi="Times New Roman" w:eastAsia="Times New Roman"/>
          <w:b w:val="0"/>
          <w:i w:val="0"/>
          <w:sz w:val="20"/>
        </w:rPr>
        <w:t>M14.  Code availability  —  Code availability</w:t>
      </w:r>
    </w:p>
    <w:p>
      <w:pPr>
        <w:spacing w:after="120" w:before="280" w:line="276" w:lineRule="auto"/>
      </w:pPr>
      <w:r>
        <w:rPr>
          <w:rFonts w:ascii="Times New Roman" w:hAnsi="Times New Roman" w:eastAsia="Times New Roman"/>
          <w:b/>
          <w:i w:val="0"/>
          <w:sz w:val="26"/>
        </w:rPr>
        <w:t>2. Analytical sequence (with citations)</w:t>
      </w:r>
    </w:p>
    <w:p>
      <w:pPr>
        <w:spacing w:after="240" w:before="0" w:line="276" w:lineRule="auto"/>
      </w:pPr>
      <w:r>
        <w:rPr>
          <w:rFonts w:ascii="Times New Roman" w:hAnsi="Times New Roman" w:eastAsia="Times New Roman"/>
          <w:b w:val="0"/>
          <w:i w:val="0"/>
          <w:sz w:val="20"/>
        </w:rPr>
        <w:t>Data were prepared (M1), then biomarker directional consistency was assessed externally and internally (M2), with analyses implemented in the software stack listed in M3. Discordance classification (M4) and liquid biopsy prioritisation (M5) were performed next, followed by age–sex (M6) and tumour purity (M7) analyses. Biomarker scoring (M8) and survival testing (M9) identified putative prognostic candidates. Mapping of the multi-omic pattern and the multi-omics pattern index (MOP_g; M10) quantified the correlation across the three molecular layers, supported by Spearman/FDR procedures (M11) and pathway enrichment (M12). The statistical analysis plan and REMARK reporting (M13) and code availability (M14) complete the Methods.</w:t>
      </w:r>
    </w:p>
    <w:p>
      <w:pPr>
        <w:spacing w:after="160" w:before="80" w:line="276" w:lineRule="auto"/>
      </w:pPr>
      <w:r>
        <w:rPr>
          <w:rFonts w:ascii="Times New Roman" w:hAnsi="Times New Roman" w:eastAsia="Times New Roman"/>
          <w:b/>
          <w:i w:val="0"/>
          <w:sz w:val="26"/>
        </w:rPr>
        <w:t>3. Detailed descriptions (M1–M14 in order)</w:t>
      </w:r>
    </w:p>
    <w:p>
      <w:pPr>
        <w:spacing w:after="40" w:before="200" w:line="276" w:lineRule="auto"/>
      </w:pPr>
      <w:r>
        <w:rPr>
          <w:rFonts w:ascii="Times New Roman" w:hAnsi="Times New Roman" w:eastAsia="Times New Roman"/>
          <w:b/>
          <w:i w:val="0"/>
          <w:sz w:val="24"/>
        </w:rPr>
        <w:t>M1. Data cohort and preprocessing</w:t>
      </w:r>
    </w:p>
    <w:p>
      <w:pPr>
        <w:spacing w:after="80" w:before="0" w:line="276" w:lineRule="auto"/>
      </w:pPr>
      <w:r>
        <w:rPr>
          <w:rFonts w:ascii="Times New Roman" w:hAnsi="Times New Roman" w:eastAsia="Times New Roman"/>
          <w:b w:val="0"/>
          <w:i/>
          <w:sz w:val="18"/>
        </w:rPr>
        <w:t>Main-text heading: Data and cohort</w:t>
      </w:r>
    </w:p>
    <w:p>
      <w:pPr>
        <w:spacing w:after="120" w:before="0" w:line="276" w:lineRule="auto"/>
      </w:pPr>
      <w:r>
        <w:rPr>
          <w:rFonts w:ascii="Times New Roman" w:hAnsi="Times New Roman" w:eastAsia="Times New Roman"/>
          <w:b w:val="0"/>
          <w:i w:val="0"/>
          <w:sz w:val="20"/>
        </w:rPr>
        <w:t>Matched DNA methylation, mRNA expression and protein abundance were analysed from the TCGA-CPTAC GB proteogenomic cohort (n = 97 patients with complete multi-omics data). DNA methylation was measured on the Illumina EPIC array as β-values (20,000 CpG probes after quality filtering); mRNA as FPKM (34,594 genes); and protein as z-scores (10,409 proteins). Clinical metadata included age, sex and survival.</w:t>
      </w:r>
    </w:p>
    <w:p>
      <w:pPr>
        <w:spacing w:after="120" w:before="0" w:line="276" w:lineRule="auto"/>
      </w:pPr>
      <w:r>
        <w:rPr>
          <w:rFonts w:ascii="Times New Roman" w:hAnsi="Times New Roman" w:eastAsia="Times New Roman"/>
          <w:b w:val="0"/>
          <w:i w:val="0"/>
          <w:sz w:val="20"/>
        </w:rPr>
        <w:t>Features with &gt;50% missing values were excluded. Remaining missing values were median-imputed within each omics layer to preserve completeness for correlation-based analyses, acknowledging reduced variance for imputed features. An overview of data types and the analysis workflow is shown in Supplementary Figure 10.</w:t>
      </w:r>
    </w:p>
    <w:p>
      <w:pPr>
        <w:spacing w:after="40" w:before="200" w:line="276" w:lineRule="auto"/>
      </w:pPr>
      <w:r>
        <w:rPr>
          <w:rFonts w:ascii="Times New Roman" w:hAnsi="Times New Roman" w:eastAsia="Times New Roman"/>
          <w:b/>
          <w:i w:val="0"/>
          <w:sz w:val="24"/>
        </w:rPr>
        <w:t>M2. External and internal validation</w:t>
      </w:r>
    </w:p>
    <w:p>
      <w:pPr>
        <w:spacing w:after="80" w:before="0" w:line="276" w:lineRule="auto"/>
      </w:pPr>
      <w:r>
        <w:rPr>
          <w:rFonts w:ascii="Times New Roman" w:hAnsi="Times New Roman" w:eastAsia="Times New Roman"/>
          <w:b w:val="0"/>
          <w:i/>
          <w:sz w:val="18"/>
        </w:rPr>
        <w:t>Main-text heading: External validation</w:t>
      </w:r>
    </w:p>
    <w:p>
      <w:pPr>
        <w:spacing w:after="120" w:before="0" w:line="276" w:lineRule="auto"/>
      </w:pPr>
      <w:r>
        <w:rPr>
          <w:rFonts w:ascii="Times New Roman" w:hAnsi="Times New Roman" w:eastAsia="Times New Roman"/>
          <w:b w:val="0"/>
          <w:i w:val="0"/>
          <w:sz w:val="20"/>
        </w:rPr>
        <w:t>External assessment used directional concordance in two independent GEO cohorts: GSE7696 (n = 80 GB; Affymetrix HG-U133 Plus 2.0 expression) and GSE230770 (n = 51 IDH-wild-type GB; Illumina EPIC methylation). Datasets were processed from GEO series matrix files without additional platform normalisation. For GSE7696, probe-level values were averaged per gene; low expression served as a proxy for high methylation based on inverse methylation–expression relationships in TCGA. For GSE230770, gene-level EPIC β-values were used. Patients were stratified by the cohort median; Kaplan–Meier curves and two-sided log-rank tests assessed survival. Concordance with TCGA was defined as directional agreement.</w:t>
      </w:r>
    </w:p>
    <w:p>
      <w:pPr>
        <w:spacing w:after="120" w:before="0" w:line="276" w:lineRule="auto"/>
      </w:pPr>
      <w:r>
        <w:rPr>
          <w:rFonts w:ascii="Times New Roman" w:hAnsi="Times New Roman" w:eastAsia="Times New Roman"/>
          <w:b w:val="0"/>
          <w:i w:val="0"/>
          <w:sz w:val="20"/>
        </w:rPr>
        <w:t>Internal validation used a single random 70/30 train–test split of the TCGA cohort (random seed = 42; approximately n_test = 29) for the six selected biomarkers (B4GALT1, EGFR, VASP, GFPT2, PHF11, TSPYL5). Given n = 97 and a small held-out set, this check was descriptive rather than confirmatory. Repeated k-fold or bootstrap resampling was not performed because the sample size cannot support stable resampling-based performance metrics. Primary external assessment remained directional concordance (Supplementary Figure 9; Supplementary Tables 20–22).</w:t>
      </w:r>
    </w:p>
    <w:p>
      <w:pPr>
        <w:spacing w:after="40" w:before="200" w:line="276" w:lineRule="auto"/>
      </w:pPr>
      <w:r>
        <w:rPr>
          <w:rFonts w:ascii="Times New Roman" w:hAnsi="Times New Roman" w:eastAsia="Times New Roman"/>
          <w:b/>
          <w:i w:val="0"/>
          <w:sz w:val="24"/>
        </w:rPr>
        <w:t>M3. Software</w:t>
      </w:r>
    </w:p>
    <w:p>
      <w:pPr>
        <w:spacing w:after="80" w:before="0" w:line="276" w:lineRule="auto"/>
      </w:pPr>
      <w:r>
        <w:rPr>
          <w:rFonts w:ascii="Times New Roman" w:hAnsi="Times New Roman" w:eastAsia="Times New Roman"/>
          <w:b w:val="0"/>
          <w:i/>
          <w:sz w:val="18"/>
        </w:rPr>
        <w:t>Main-text heading: Software</w:t>
      </w:r>
    </w:p>
    <w:p>
      <w:pPr>
        <w:spacing w:after="120" w:before="0" w:line="276" w:lineRule="auto"/>
      </w:pPr>
      <w:r>
        <w:rPr>
          <w:rFonts w:ascii="Times New Roman" w:hAnsi="Times New Roman" w:eastAsia="Times New Roman"/>
          <w:b w:val="0"/>
          <w:i w:val="0"/>
          <w:sz w:val="20"/>
        </w:rPr>
        <w:t>Analyses were run in Python 3.8 (pandas ≥1.5, numpy ≥1.23, scipy ≥1.9, statsmodels ≥0.14, lifelines ≥0.27, matplotlib, seaborn, networkx). Custom scripts are available at https://github.com/ul-mds/Integrative-DNA-Methylation-Transcriptomics-in-Glioblastoma/tree/main/Codes (see also M14).</w:t>
      </w:r>
    </w:p>
    <w:p>
      <w:pPr>
        <w:spacing w:after="40" w:before="200" w:line="276" w:lineRule="auto"/>
      </w:pPr>
      <w:r>
        <w:rPr>
          <w:rFonts w:ascii="Times New Roman" w:hAnsi="Times New Roman" w:eastAsia="Times New Roman"/>
          <w:b/>
          <w:i w:val="0"/>
          <w:sz w:val="24"/>
        </w:rPr>
        <w:t>M4. Methylation–protein discordance classification</w:t>
      </w:r>
    </w:p>
    <w:p>
      <w:pPr>
        <w:spacing w:after="80" w:before="0" w:line="276" w:lineRule="auto"/>
      </w:pPr>
      <w:r>
        <w:rPr>
          <w:rFonts w:ascii="Times New Roman" w:hAnsi="Times New Roman" w:eastAsia="Times New Roman"/>
          <w:b w:val="0"/>
          <w:i/>
          <w:sz w:val="18"/>
        </w:rPr>
        <w:t>Main-text heading: Discordance analysis</w:t>
      </w:r>
    </w:p>
    <w:p>
      <w:pPr>
        <w:spacing w:after="120" w:before="0" w:line="276" w:lineRule="auto"/>
      </w:pPr>
      <w:r>
        <w:rPr>
          <w:rFonts w:ascii="Times New Roman" w:hAnsi="Times New Roman" w:eastAsia="Times New Roman"/>
          <w:b w:val="0"/>
          <w:i w:val="0"/>
          <w:sz w:val="20"/>
        </w:rPr>
        <w:t>Genes with complete methylation and protein data were classified by methylation–protein Spearman correlation into discordant (|r| &lt; 0.2), moderate (0.2 ≤ |r| &lt; 0.5), concordant high (r ≥ 0.5) and concordant negative (r ≤ −0.5). Top discordant genes were ranked by lowest |r|.</w:t>
      </w:r>
    </w:p>
    <w:p>
      <w:pPr>
        <w:spacing w:after="120" w:before="0" w:line="276" w:lineRule="auto"/>
      </w:pPr>
      <w:r>
        <w:rPr>
          <w:rFonts w:ascii="Times New Roman" w:hAnsi="Times New Roman" w:eastAsia="Times New Roman"/>
          <w:b w:val="0"/>
          <w:i w:val="0"/>
          <w:sz w:val="20"/>
        </w:rPr>
        <w:t>Threshold basis. |r| &lt; 0.2 was a descriptive cut-off denoting near-absence of monotonic coupling. |r| ≥ 0.5 and r ≤ −0.5 follow conventional thresholds for moderate-to-strong association.</w:t>
      </w:r>
    </w:p>
    <w:p>
      <w:pPr>
        <w:spacing w:after="40" w:before="200" w:line="276" w:lineRule="auto"/>
      </w:pPr>
      <w:r>
        <w:rPr>
          <w:rFonts w:ascii="Times New Roman" w:hAnsi="Times New Roman" w:eastAsia="Times New Roman"/>
          <w:b/>
          <w:i w:val="0"/>
          <w:sz w:val="24"/>
        </w:rPr>
        <w:t>M5. Liquid biopsy Detectability, Prognostic and Liquid Biopsy Scores</w:t>
      </w:r>
    </w:p>
    <w:p>
      <w:pPr>
        <w:spacing w:after="80" w:before="0" w:line="276" w:lineRule="auto"/>
      </w:pPr>
      <w:r>
        <w:rPr>
          <w:rFonts w:ascii="Times New Roman" w:hAnsi="Times New Roman" w:eastAsia="Times New Roman"/>
          <w:b w:val="0"/>
          <w:i/>
          <w:sz w:val="18"/>
        </w:rPr>
        <w:t>Main-text heading: Liquid biopsy candidate prioritisation</w:t>
      </w:r>
    </w:p>
    <w:p>
      <w:pPr>
        <w:spacing w:after="120" w:before="0" w:line="276" w:lineRule="auto"/>
      </w:pPr>
      <w:r>
        <w:rPr>
          <w:rFonts w:ascii="Times New Roman" w:hAnsi="Times New Roman" w:eastAsia="Times New Roman"/>
          <w:b w:val="0"/>
          <w:i w:val="0"/>
          <w:sz w:val="20"/>
        </w:rPr>
        <w:t>Liquid Biopsy Score = Detectability Score × (1 + Prognostic Score), where Detectability Score = mean β × 1/(1 + CV) for genes with CV &lt; 1 (CV = σ/μ), and Prognostic Score = −log₁₀(p) for survival association if p &lt; 0.05, otherwise 0. The top 50 genes were retained as in silico candidates for future plasma ctDNA validation. No plasma or CSF samples were analysed.</w:t>
      </w:r>
    </w:p>
    <w:p>
      <w:pPr>
        <w:spacing w:after="120" w:before="0" w:line="276" w:lineRule="auto"/>
      </w:pPr>
      <w:r>
        <w:rPr>
          <w:rFonts w:ascii="Times New Roman" w:hAnsi="Times New Roman" w:eastAsia="Times New Roman"/>
          <w:b w:val="0"/>
          <w:i w:val="0"/>
          <w:sz w:val="20"/>
        </w:rPr>
        <w:t>Rationale. Detectability rewards consistently hypermethylated, low-variability loci. CV &lt; 1 is a permissive filter excluding loci with SD ≥ mean. The multiplicative form preserves detectability ranking when prognostic evidence is absent while amplifying candidates with both detectability and survival association. Scores do not estimate plasma performance.</w:t>
      </w:r>
    </w:p>
    <w:p>
      <w:pPr>
        <w:spacing w:after="40" w:before="200" w:line="276" w:lineRule="auto"/>
      </w:pPr>
      <w:r>
        <w:rPr>
          <w:rFonts w:ascii="Times New Roman" w:hAnsi="Times New Roman" w:eastAsia="Times New Roman"/>
          <w:b/>
          <w:i w:val="0"/>
          <w:sz w:val="24"/>
        </w:rPr>
        <w:t>M6. Age–sex methylation analysis</w:t>
      </w:r>
    </w:p>
    <w:p>
      <w:pPr>
        <w:spacing w:after="80" w:before="0" w:line="276" w:lineRule="auto"/>
      </w:pPr>
      <w:r>
        <w:rPr>
          <w:rFonts w:ascii="Times New Roman" w:hAnsi="Times New Roman" w:eastAsia="Times New Roman"/>
          <w:b w:val="0"/>
          <w:i/>
          <w:sz w:val="18"/>
        </w:rPr>
        <w:t>Main-text heading: Age–sex analysis</w:t>
      </w:r>
    </w:p>
    <w:p>
      <w:pPr>
        <w:spacing w:after="120" w:before="0" w:line="276" w:lineRule="auto"/>
      </w:pPr>
      <w:r>
        <w:rPr>
          <w:rFonts w:ascii="Times New Roman" w:hAnsi="Times New Roman" w:eastAsia="Times New Roman"/>
          <w:b w:val="0"/>
          <w:i w:val="0"/>
          <w:sz w:val="20"/>
        </w:rPr>
        <w:t>Age–methylation Spearman correlations were computed separately in males and females. Genes with |r| &gt; 0.5 and p &lt; 0.05 were considered age-dependent (literature-informed strong-correlation threshold; screens without multiplicity correction). Sex differences used two-tailed Mann–Whitney U tests; age-group differences used Kruskal–Wallis tests. Age was categorised as Young (0–40), Mid (41–55) and Old (56+ years). The Mid upper bound of 55 years balanced group sizes and aligned with prior GB age-stratification studies; sensitivity analyses with 50 or 60 years gave similar qualitative results.</w:t>
      </w:r>
    </w:p>
    <w:p>
      <w:pPr>
        <w:spacing w:after="40" w:before="200" w:line="276" w:lineRule="auto"/>
      </w:pPr>
      <w:r>
        <w:rPr>
          <w:rFonts w:ascii="Times New Roman" w:hAnsi="Times New Roman" w:eastAsia="Times New Roman"/>
          <w:b/>
          <w:i w:val="0"/>
          <w:sz w:val="24"/>
        </w:rPr>
        <w:t>M7. Tumour purity estimation</w:t>
      </w:r>
    </w:p>
    <w:p>
      <w:pPr>
        <w:spacing w:after="80" w:before="0" w:line="276" w:lineRule="auto"/>
      </w:pPr>
      <w:r>
        <w:rPr>
          <w:rFonts w:ascii="Times New Roman" w:hAnsi="Times New Roman" w:eastAsia="Times New Roman"/>
          <w:b w:val="0"/>
          <w:i/>
          <w:sz w:val="18"/>
        </w:rPr>
        <w:t>Main-text heading: Tumour purity analysis</w:t>
      </w:r>
    </w:p>
    <w:p>
      <w:pPr>
        <w:spacing w:after="120" w:before="0" w:line="276" w:lineRule="auto"/>
      </w:pPr>
      <w:r>
        <w:rPr>
          <w:rFonts w:ascii="Times New Roman" w:hAnsi="Times New Roman" w:eastAsia="Times New Roman"/>
          <w:b w:val="0"/>
          <w:i w:val="0"/>
          <w:sz w:val="20"/>
        </w:rPr>
        <w:t>Tumour purity was estimated using ESTIMATE (stromal and immune gene signatures from mRNA) and a methylation-based proxy. Stromal and immune scores were computed as the mean expression of signature genes. A purity proxy was derived as 1 minus the normalised combined score. The strength of the pattern (mean biomarker DNA methylation β-value) was correlated with purity estimates to evaluate confounding by tumour purity or immune infiltration.</w:t>
      </w:r>
    </w:p>
    <w:p>
      <w:pPr>
        <w:spacing w:after="40" w:before="200" w:line="276" w:lineRule="auto"/>
      </w:pPr>
      <w:r>
        <w:rPr>
          <w:rFonts w:ascii="Times New Roman" w:hAnsi="Times New Roman" w:eastAsia="Times New Roman"/>
          <w:b/>
          <w:i w:val="0"/>
          <w:sz w:val="24"/>
        </w:rPr>
        <w:t>M8. Biomarker discovery and Biomarker Score</w:t>
      </w:r>
    </w:p>
    <w:p>
      <w:pPr>
        <w:spacing w:after="80" w:before="0" w:line="276" w:lineRule="auto"/>
      </w:pPr>
      <w:r>
        <w:rPr>
          <w:rFonts w:ascii="Times New Roman" w:hAnsi="Times New Roman" w:eastAsia="Times New Roman"/>
          <w:b w:val="0"/>
          <w:i/>
          <w:sz w:val="18"/>
        </w:rPr>
        <w:t>Main-text heading: Biomarker discovery</w:t>
      </w:r>
    </w:p>
    <w:p>
      <w:pPr>
        <w:spacing w:after="120" w:before="0" w:line="276" w:lineRule="auto"/>
      </w:pPr>
      <w:r>
        <w:rPr>
          <w:rFonts w:ascii="Times New Roman" w:hAnsi="Times New Roman" w:eastAsia="Times New Roman"/>
          <w:b w:val="0"/>
          <w:i w:val="0"/>
          <w:sz w:val="20"/>
        </w:rPr>
        <w:t>Biomarker candidates required mean DNA methylation β &gt; 0.7 and negative Spearman correlation between methylation and protein abundance (p &lt; 0.05). Biomarker Score = (−r × 0.4) + (mean β × 0.2) + (−log₁₀(p) × 0.2) + (|Δprotein| × 0.2), where Δprotein is the mean protein difference between high- (β &gt; 0.7) and low-methylation groups.</w:t>
      </w:r>
    </w:p>
    <w:p>
      <w:pPr>
        <w:spacing w:after="120" w:before="0" w:line="276" w:lineRule="auto"/>
      </w:pPr>
      <w:r>
        <w:rPr>
          <w:rFonts w:ascii="Times New Roman" w:hAnsi="Times New Roman" w:eastAsia="Times New Roman"/>
          <w:b w:val="0"/>
          <w:i w:val="0"/>
          <w:sz w:val="20"/>
        </w:rPr>
        <w:t>Rationale. Weights were assigned a priori: correlation strength (0.4) prioritised methylation–protein coupling; methylation level, significance and |Δprotein| contributed equally (0.2 each). Weights were not optimised on survival. Mean β &gt; 0.7 was a literature-informed hypermethylation cut-off on the Illumina EPIC scale and was not tuned to maximise survival separation. Components were scaled before weighting. The score was used for prioritisation only.</w:t>
      </w:r>
    </w:p>
    <w:p>
      <w:pPr>
        <w:spacing w:after="40" w:before="200" w:line="276" w:lineRule="auto"/>
      </w:pPr>
      <w:r>
        <w:rPr>
          <w:rFonts w:ascii="Times New Roman" w:hAnsi="Times New Roman" w:eastAsia="Times New Roman"/>
          <w:b/>
          <w:i w:val="0"/>
          <w:sz w:val="24"/>
        </w:rPr>
        <w:t>M9. Survival analysis (Kaplan–Meier, log-rank, Cox)</w:t>
      </w:r>
    </w:p>
    <w:p>
      <w:pPr>
        <w:spacing w:after="80" w:before="0" w:line="276" w:lineRule="auto"/>
      </w:pPr>
      <w:r>
        <w:rPr>
          <w:rFonts w:ascii="Times New Roman" w:hAnsi="Times New Roman" w:eastAsia="Times New Roman"/>
          <w:b w:val="0"/>
          <w:i/>
          <w:sz w:val="18"/>
        </w:rPr>
        <w:t>Main-text heading: Biomarker discovery (survival testing)</w:t>
      </w:r>
    </w:p>
    <w:p>
      <w:pPr>
        <w:spacing w:after="120" w:before="0" w:line="276" w:lineRule="auto"/>
      </w:pPr>
      <w:r>
        <w:rPr>
          <w:rFonts w:ascii="Times New Roman" w:hAnsi="Times New Roman" w:eastAsia="Times New Roman"/>
          <w:b w:val="0"/>
          <w:i w:val="0"/>
          <w:sz w:val="20"/>
        </w:rPr>
        <w:t>Overall survival was compared by methylation status (β &gt; 0.7 vs ≤ 0.7) using Kaplan–Meier curves and two-sided log-rank tests. Multivariable Cox proportional-hazards models adjusted for age and sex (complete-case analysis) assessed independent prognostic value; proportional-hazards assumptions were checked with Schoenfeld residuals. Analyses used the lifelines package.</w:t>
      </w:r>
    </w:p>
    <w:p>
      <w:pPr>
        <w:spacing w:after="120" w:before="0" w:line="276" w:lineRule="auto"/>
      </w:pPr>
      <w:r>
        <w:rPr>
          <w:rFonts w:ascii="Times New Roman" w:hAnsi="Times New Roman" w:eastAsia="Times New Roman"/>
          <w:b w:val="0"/>
          <w:i w:val="0"/>
          <w:sz w:val="20"/>
        </w:rPr>
        <w:t>The six survival biomarkers were B4GALT1, EGFR, VASP, GFPT2, PHF11 and TSPYL5. They were selected by the four-step rule in M9 and were not named in advance. Other gene-wise survival scans were secondary analyses and are reported with raw p-values. For the survival scan of the multi-omic gene set, Benjamini–Hochberg q-values across 1,335 tests are given in the main text.</w:t>
      </w:r>
    </w:p>
    <w:p>
      <w:pPr>
        <w:spacing w:after="40" w:before="200" w:line="276" w:lineRule="auto"/>
      </w:pPr>
      <w:r>
        <w:rPr>
          <w:rFonts w:ascii="Times New Roman" w:hAnsi="Times New Roman" w:eastAsia="Times New Roman"/>
          <w:b/>
          <w:i w:val="0"/>
          <w:sz w:val="24"/>
        </w:rPr>
        <w:t>M10. Multi-omics correlation analysis and multi-omics pattern index (MOP_g)</w:t>
      </w:r>
    </w:p>
    <w:p>
      <w:pPr>
        <w:spacing w:after="80" w:before="0" w:line="276" w:lineRule="auto"/>
      </w:pPr>
      <w:r>
        <w:rPr>
          <w:rFonts w:ascii="Times New Roman" w:hAnsi="Times New Roman" w:eastAsia="Times New Roman"/>
          <w:b w:val="0"/>
          <w:i/>
          <w:sz w:val="18"/>
        </w:rPr>
        <w:t>Main-text heading: Multi-omics Correlation Analysis</w:t>
      </w:r>
    </w:p>
    <w:p>
      <w:pPr>
        <w:spacing w:after="120" w:before="0" w:line="276" w:lineRule="auto"/>
      </w:pPr>
      <w:r>
        <w:rPr>
          <w:rFonts w:ascii="Times New Roman" w:hAnsi="Times New Roman" w:eastAsia="Times New Roman"/>
          <w:b w:val="0"/>
          <w:i w:val="0"/>
          <w:sz w:val="20"/>
        </w:rPr>
        <w:t>Genes with a high-methylation → low-expression → low-protein pattern met four pre-specified criteria: (i) mean gene-level β above the cohort median of gene-wise mean β-values; (ii) methylation–mRNA Spearman r &lt; −0.1 (FDR &lt; 0.05); (iii) mRNA–protein r &gt; 0.3 (FDR &lt; 0.05); and (iv) methylation–protein r &lt; −0.1 (FDR &lt; 0.05).</w:t>
      </w:r>
    </w:p>
    <w:p>
      <w:pPr>
        <w:spacing w:after="120" w:before="0" w:line="276" w:lineRule="auto"/>
      </w:pPr>
      <w:r>
        <w:rPr>
          <w:rFonts w:ascii="Times New Roman" w:hAnsi="Times New Roman" w:eastAsia="Times New Roman"/>
          <w:b w:val="0"/>
          <w:i w:val="0"/>
          <w:sz w:val="20"/>
        </w:rPr>
        <w:t>Multi-omics pattern index: MOP_g = |ρ(Meth, mRNA)| × |ρ(mRNA, Prot)| × |ρ(Meth, Prot)|. MOP_g ranges from 0 to 1 and was used for ranking only.</w:t>
      </w:r>
    </w:p>
    <w:p>
      <w:pPr>
        <w:spacing w:after="120" w:before="0" w:line="276" w:lineRule="auto"/>
      </w:pPr>
      <w:r>
        <w:rPr>
          <w:rFonts w:ascii="Times New Roman" w:hAnsi="Times New Roman" w:eastAsia="Times New Roman"/>
          <w:b w:val="0"/>
          <w:i w:val="0"/>
          <w:sz w:val="20"/>
        </w:rPr>
        <w:t>Rationale. A multiplicative index was used because a consistent correlative pattern requires all three pairwise correlations to be present; an additive score could rank a gene highly even when one pair of layers is uncorrelated. MOP_g approaches 1 only when all pairwise associations are strong. Directional filters r &lt; −0.1 (liberal bounds) and r &gt; 0.3 (moderate transcription-to-protein coupling) were pre-specified.</w:t>
      </w:r>
    </w:p>
    <w:p>
      <w:pPr>
        <w:spacing w:after="40" w:before="200" w:line="276" w:lineRule="auto"/>
      </w:pPr>
      <w:r>
        <w:rPr>
          <w:rFonts w:ascii="Times New Roman" w:hAnsi="Times New Roman" w:eastAsia="Times New Roman"/>
          <w:b/>
          <w:i w:val="0"/>
          <w:sz w:val="24"/>
        </w:rPr>
        <w:t>M11. Spearman correlation and multiple-testing correction</w:t>
      </w:r>
    </w:p>
    <w:p>
      <w:pPr>
        <w:spacing w:after="80" w:before="0" w:line="276" w:lineRule="auto"/>
      </w:pPr>
      <w:r>
        <w:rPr>
          <w:rFonts w:ascii="Times New Roman" w:hAnsi="Times New Roman" w:eastAsia="Times New Roman"/>
          <w:b w:val="0"/>
          <w:i/>
          <w:sz w:val="18"/>
        </w:rPr>
        <w:t>Main-text heading: Statistics and reproducibility (cross-cutting)</w:t>
      </w:r>
    </w:p>
    <w:p>
      <w:pPr>
        <w:spacing w:after="120" w:before="0" w:line="276" w:lineRule="auto"/>
      </w:pPr>
      <w:r>
        <w:rPr>
          <w:rFonts w:ascii="Times New Roman" w:hAnsi="Times New Roman" w:eastAsia="Times New Roman"/>
          <w:b w:val="0"/>
          <w:i w:val="0"/>
          <w:sz w:val="20"/>
        </w:rPr>
        <w:t>Associations between molecular layers were quantified with Spearman’s rank correlation coefficient (ρ), a non-parametric measure robust to non-linear monotonic relationships and outliers. For the gene-wide multi-omics screen, p-values were adjusted using the Benjamini–Hochberg false-discovery-rate procedure (FDR &lt; 0.05). Screens outside the multi-omics correlation analysis report raw p-values as stated in M12.</w:t>
      </w:r>
    </w:p>
    <w:p>
      <w:pPr>
        <w:spacing w:after="40" w:before="200" w:line="276" w:lineRule="auto"/>
      </w:pPr>
      <w:r>
        <w:rPr>
          <w:rFonts w:ascii="Times New Roman" w:hAnsi="Times New Roman" w:eastAsia="Times New Roman"/>
          <w:b/>
          <w:i w:val="0"/>
          <w:sz w:val="24"/>
        </w:rPr>
        <w:t>M12. Pathway enrichment (DAVID / Gene Ontology)</w:t>
      </w:r>
    </w:p>
    <w:p>
      <w:pPr>
        <w:spacing w:after="80" w:before="0" w:line="276" w:lineRule="auto"/>
      </w:pPr>
      <w:r>
        <w:rPr>
          <w:rFonts w:ascii="Times New Roman" w:hAnsi="Times New Roman" w:eastAsia="Times New Roman"/>
          <w:b w:val="0"/>
          <w:i/>
          <w:sz w:val="18"/>
        </w:rPr>
        <w:t>Main-text heading: Discordance analysis / multi-omics pattern (enrichment)</w:t>
      </w:r>
    </w:p>
    <w:p>
      <w:pPr>
        <w:spacing w:after="120" w:before="0" w:line="276" w:lineRule="auto"/>
      </w:pPr>
      <w:r>
        <w:rPr>
          <w:rFonts w:ascii="Times New Roman" w:hAnsi="Times New Roman" w:eastAsia="Times New Roman"/>
          <w:b w:val="0"/>
          <w:i w:val="0"/>
          <w:sz w:val="20"/>
        </w:rPr>
        <w:t>Pathway enrichment used DAVID v6.8 (https://david.ncifcrf.gov/) and Gene Ontology with Benjamini–Hochberg FDR correction (FDR &lt; 0.05). Enrichment was applied to the gene set showing the multi-omic pattern, age–sex gene sets and discordant-gene sets as reported in the corresponding Supplementary Tables.</w:t>
      </w:r>
    </w:p>
    <w:p>
      <w:pPr>
        <w:spacing w:after="40" w:before="200" w:line="276" w:lineRule="auto"/>
      </w:pPr>
      <w:r>
        <w:rPr>
          <w:rFonts w:ascii="Times New Roman" w:hAnsi="Times New Roman" w:eastAsia="Times New Roman"/>
          <w:b/>
          <w:i w:val="0"/>
          <w:sz w:val="24"/>
        </w:rPr>
        <w:t>M13. Statistical analysis plan and REMARK reporting</w:t>
      </w:r>
    </w:p>
    <w:p>
      <w:pPr>
        <w:spacing w:after="80" w:before="0" w:line="276" w:lineRule="auto"/>
      </w:pPr>
      <w:r>
        <w:rPr>
          <w:rFonts w:ascii="Times New Roman" w:hAnsi="Times New Roman" w:eastAsia="Times New Roman"/>
          <w:b w:val="0"/>
          <w:i/>
          <w:sz w:val="18"/>
        </w:rPr>
        <w:t>Main-text heading: Statistics and reproducibility</w:t>
      </w:r>
    </w:p>
    <w:p>
      <w:pPr>
        <w:spacing w:after="120" w:before="0" w:line="276" w:lineRule="auto"/>
      </w:pPr>
      <w:r>
        <w:rPr>
          <w:rFonts w:ascii="Times New Roman" w:hAnsi="Times New Roman" w:eastAsia="Times New Roman"/>
          <w:b w:val="0"/>
          <w:i w:val="0"/>
          <w:sz w:val="20"/>
        </w:rPr>
        <w:t>Prognostic biomarker analyses were reported in accordance with REMARK guidelines (checklist provided with this submission). Analytical thresholds were pre-specified and were not optimised by grid search or cross-validation on survival outcomes (see Section 4).</w:t>
      </w:r>
    </w:p>
    <w:p>
      <w:pPr>
        <w:spacing w:after="120" w:before="0" w:line="276" w:lineRule="auto"/>
      </w:pPr>
      <w:r>
        <w:rPr>
          <w:rFonts w:ascii="Times New Roman" w:hAnsi="Times New Roman" w:eastAsia="Times New Roman"/>
          <w:b w:val="0"/>
          <w:i w:val="0"/>
          <w:sz w:val="20"/>
        </w:rPr>
        <w:t>Primary integrative analyses comprised the multi-omics correlation analysis (FDR-controlled), discordance quantification and descriptive multi-omics integration. The six genes listed in M9 were the candidate biomarkers that passed the four-step selection rule; they were not named in advance. All other gene-wise survival scans, liquid biopsy ranking and age–sex screens were secondary analyses. Two-tailed tests; α = 0.05 unless stated otherwise. All composite scores were used for prioritisation rather than inference; primary conclusions rely on direct correlations and survival analyses.</w:t>
      </w:r>
    </w:p>
    <w:p>
      <w:pPr>
        <w:spacing w:after="40" w:before="200" w:line="276" w:lineRule="auto"/>
      </w:pPr>
      <w:r>
        <w:rPr>
          <w:rFonts w:ascii="Times New Roman" w:hAnsi="Times New Roman" w:eastAsia="Times New Roman"/>
          <w:b/>
          <w:i w:val="0"/>
          <w:sz w:val="24"/>
        </w:rPr>
        <w:t>M14. Code availability</w:t>
      </w:r>
    </w:p>
    <w:p>
      <w:pPr>
        <w:spacing w:after="80" w:before="0" w:line="276" w:lineRule="auto"/>
      </w:pPr>
      <w:r>
        <w:rPr>
          <w:rFonts w:ascii="Times New Roman" w:hAnsi="Times New Roman" w:eastAsia="Times New Roman"/>
          <w:b w:val="0"/>
          <w:i/>
          <w:sz w:val="18"/>
        </w:rPr>
        <w:t>Main-text heading: Code availability</w:t>
      </w:r>
    </w:p>
    <w:p>
      <w:pPr>
        <w:spacing w:after="120" w:before="0" w:line="276" w:lineRule="auto"/>
      </w:pPr>
      <w:r>
        <w:rPr>
          <w:rFonts w:ascii="Times New Roman" w:hAnsi="Times New Roman" w:eastAsia="Times New Roman"/>
          <w:b w:val="0"/>
          <w:i w:val="0"/>
          <w:sz w:val="20"/>
        </w:rPr>
        <w:t>The underlying code is available at https://github.com/ul-mds/Integrative-DNA-Methylation-Transcriptomics-in-Glioblastoma/tree/main/Codes. Scripts are provided for Python 3.8+ with requirements files.</w:t>
      </w:r>
    </w:p>
    <w:p>
      <w:pPr>
        <w:spacing w:after="120" w:before="280" w:line="276" w:lineRule="auto"/>
      </w:pPr>
      <w:r>
        <w:rPr>
          <w:rFonts w:ascii="Times New Roman" w:hAnsi="Times New Roman" w:eastAsia="Times New Roman"/>
          <w:b/>
          <w:i w:val="0"/>
          <w:sz w:val="26"/>
        </w:rPr>
        <w:t>4. Threshold justification (linked to method numbers)</w:t>
      </w:r>
    </w:p>
    <w:p>
      <w:pPr>
        <w:spacing w:after="160" w:before="0" w:line="276" w:lineRule="auto"/>
      </w:pPr>
      <w:r>
        <w:rPr>
          <w:rFonts w:ascii="Times New Roman" w:hAnsi="Times New Roman" w:eastAsia="Times New Roman"/>
          <w:b w:val="0"/>
          <w:i w:val="0"/>
          <w:sz w:val="20"/>
        </w:rPr>
        <w:t>All cut-offs were pre-specified before analysis and were not optimised on survival outcomes.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Threshold</w:t>
            </w:r>
          </w:p>
        </w:tc>
        <w:tc>
          <w:tcPr>
            <w:tcW w:type="dxa" w:w="3120"/>
          </w:tcPr>
          <w:p>
            <w:r/>
            <w:r>
              <w:rPr>
                <w:rFonts w:ascii="Times New Roman" w:hAnsi="Times New Roman" w:eastAsia="Times New Roman"/>
                <w:b/>
                <w:i w:val="0"/>
                <w:sz w:val="20"/>
              </w:rPr>
              <w:t>Method / application</w:t>
            </w:r>
          </w:p>
        </w:tc>
        <w:tc>
          <w:tcPr>
            <w:tcW w:type="dxa" w:w="3120"/>
          </w:tcPr>
          <w:p>
            <w:r/>
            <w:r>
              <w:rPr>
                <w:rFonts w:ascii="Times New Roman" w:hAnsi="Times New Roman" w:eastAsia="Times New Roman"/>
                <w:b/>
                <w:i w:val="0"/>
                <w:sz w:val="20"/>
              </w:rPr>
              <w:t>Basis</w:t>
            </w:r>
          </w:p>
        </w:tc>
      </w:tr>
      <w:tr>
        <w:tc>
          <w:tcPr>
            <w:tcW w:type="dxa" w:w="3120"/>
          </w:tcPr>
          <w:p>
            <w:r/>
            <w:r>
              <w:rPr>
                <w:rFonts w:ascii="Times New Roman" w:hAnsi="Times New Roman" w:eastAsia="Times New Roman"/>
                <w:b w:val="0"/>
                <w:i w:val="0"/>
                <w:sz w:val="18"/>
              </w:rPr>
              <w:t>β &gt; 0.7</w:t>
            </w:r>
          </w:p>
        </w:tc>
        <w:tc>
          <w:tcPr>
            <w:tcW w:type="dxa" w:w="3120"/>
          </w:tcPr>
          <w:p>
            <w:r/>
            <w:r>
              <w:rPr>
                <w:rFonts w:ascii="Times New Roman" w:hAnsi="Times New Roman" w:eastAsia="Times New Roman"/>
                <w:b w:val="0"/>
                <w:i w:val="0"/>
                <w:sz w:val="18"/>
              </w:rPr>
              <w:t>Biomarker filtering; survival strata (M8–M9)</w:t>
            </w:r>
          </w:p>
        </w:tc>
        <w:tc>
          <w:tcPr>
            <w:tcW w:type="dxa" w:w="3120"/>
          </w:tcPr>
          <w:p>
            <w:r/>
            <w:r>
              <w:rPr>
                <w:rFonts w:ascii="Times New Roman" w:hAnsi="Times New Roman" w:eastAsia="Times New Roman"/>
                <w:b w:val="0"/>
                <w:i w:val="0"/>
                <w:sz w:val="18"/>
              </w:rPr>
              <w:t>Literature-informed; pre-specified; not survival-tuned</w:t>
            </w:r>
          </w:p>
        </w:tc>
      </w:tr>
      <w:tr>
        <w:tc>
          <w:tcPr>
            <w:tcW w:type="dxa" w:w="3120"/>
          </w:tcPr>
          <w:p>
            <w:r/>
            <w:r>
              <w:rPr>
                <w:rFonts w:ascii="Times New Roman" w:hAnsi="Times New Roman" w:eastAsia="Times New Roman"/>
                <w:b w:val="0"/>
                <w:i w:val="0"/>
                <w:sz w:val="18"/>
              </w:rPr>
              <w:t>|r| &lt; 0.2</w:t>
            </w:r>
          </w:p>
        </w:tc>
        <w:tc>
          <w:tcPr>
            <w:tcW w:type="dxa" w:w="3120"/>
          </w:tcPr>
          <w:p>
            <w:r/>
            <w:r>
              <w:rPr>
                <w:rFonts w:ascii="Times New Roman" w:hAnsi="Times New Roman" w:eastAsia="Times New Roman"/>
                <w:b w:val="0"/>
                <w:i w:val="0"/>
                <w:sz w:val="18"/>
              </w:rPr>
              <w:t>Discordance (M4)</w:t>
            </w:r>
          </w:p>
        </w:tc>
        <w:tc>
          <w:tcPr>
            <w:tcW w:type="dxa" w:w="3120"/>
          </w:tcPr>
          <w:p>
            <w:r/>
            <w:r>
              <w:rPr>
                <w:rFonts w:ascii="Times New Roman" w:hAnsi="Times New Roman" w:eastAsia="Times New Roman"/>
                <w:b w:val="0"/>
                <w:i w:val="0"/>
                <w:sz w:val="18"/>
              </w:rPr>
              <w:t>Descriptive (weak coupling)</w:t>
            </w:r>
          </w:p>
        </w:tc>
      </w:tr>
      <w:tr>
        <w:tc>
          <w:tcPr>
            <w:tcW w:type="dxa" w:w="3120"/>
          </w:tcPr>
          <w:p>
            <w:r/>
            <w:r>
              <w:rPr>
                <w:rFonts w:ascii="Times New Roman" w:hAnsi="Times New Roman" w:eastAsia="Times New Roman"/>
                <w:b w:val="0"/>
                <w:i w:val="0"/>
                <w:sz w:val="18"/>
              </w:rPr>
              <w:t>|r| ≥ 0.5 / r ≤ −0.5</w:t>
            </w:r>
          </w:p>
        </w:tc>
        <w:tc>
          <w:tcPr>
            <w:tcW w:type="dxa" w:w="3120"/>
          </w:tcPr>
          <w:p>
            <w:r/>
            <w:r>
              <w:rPr>
                <w:rFonts w:ascii="Times New Roman" w:hAnsi="Times New Roman" w:eastAsia="Times New Roman"/>
                <w:b w:val="0"/>
                <w:i w:val="0"/>
                <w:sz w:val="18"/>
              </w:rPr>
              <w:t>Concordance (M4)</w:t>
            </w:r>
          </w:p>
        </w:tc>
        <w:tc>
          <w:tcPr>
            <w:tcW w:type="dxa" w:w="3120"/>
          </w:tcPr>
          <w:p>
            <w:r/>
            <w:r>
              <w:rPr>
                <w:rFonts w:ascii="Times New Roman" w:hAnsi="Times New Roman" w:eastAsia="Times New Roman"/>
                <w:b w:val="0"/>
                <w:i w:val="0"/>
                <w:sz w:val="18"/>
              </w:rPr>
              <w:t>Literature-informed strong correlation</w:t>
            </w:r>
          </w:p>
        </w:tc>
      </w:tr>
      <w:tr>
        <w:tc>
          <w:tcPr>
            <w:tcW w:type="dxa" w:w="3120"/>
          </w:tcPr>
          <w:p>
            <w:r/>
            <w:r>
              <w:rPr>
                <w:rFonts w:ascii="Times New Roman" w:hAnsi="Times New Roman" w:eastAsia="Times New Roman"/>
                <w:b w:val="0"/>
                <w:i w:val="0"/>
                <w:sz w:val="18"/>
              </w:rPr>
              <w:t>r &lt; −0.1</w:t>
            </w:r>
          </w:p>
        </w:tc>
        <w:tc>
          <w:tcPr>
            <w:tcW w:type="dxa" w:w="3120"/>
          </w:tcPr>
          <w:p>
            <w:r/>
            <w:r>
              <w:rPr>
                <w:rFonts w:ascii="Times New Roman" w:hAnsi="Times New Roman" w:eastAsia="Times New Roman"/>
                <w:b w:val="0"/>
                <w:i w:val="0"/>
                <w:sz w:val="18"/>
              </w:rPr>
              <w:t>Multi-omic pattern: methylation–mRNA / methylation–protein (M10)</w:t>
            </w:r>
          </w:p>
        </w:tc>
        <w:tc>
          <w:tcPr>
            <w:tcW w:type="dxa" w:w="3120"/>
          </w:tcPr>
          <w:p>
            <w:r/>
            <w:r>
              <w:rPr>
                <w:rFonts w:ascii="Times New Roman" w:hAnsi="Times New Roman" w:eastAsia="Times New Roman"/>
                <w:b w:val="0"/>
                <w:i w:val="0"/>
                <w:sz w:val="18"/>
              </w:rPr>
              <w:t>Liberal directional filter</w:t>
            </w:r>
          </w:p>
        </w:tc>
      </w:tr>
      <w:tr>
        <w:tc>
          <w:tcPr>
            <w:tcW w:type="dxa" w:w="3120"/>
          </w:tcPr>
          <w:p>
            <w:r/>
            <w:r>
              <w:rPr>
                <w:rFonts w:ascii="Times New Roman" w:hAnsi="Times New Roman" w:eastAsia="Times New Roman"/>
                <w:b w:val="0"/>
                <w:i w:val="0"/>
                <w:sz w:val="18"/>
              </w:rPr>
              <w:t>r &gt; 0.3</w:t>
            </w:r>
          </w:p>
        </w:tc>
        <w:tc>
          <w:tcPr>
            <w:tcW w:type="dxa" w:w="3120"/>
          </w:tcPr>
          <w:p>
            <w:r/>
            <w:r>
              <w:rPr>
                <w:rFonts w:ascii="Times New Roman" w:hAnsi="Times New Roman" w:eastAsia="Times New Roman"/>
                <w:b w:val="0"/>
                <w:i w:val="0"/>
                <w:sz w:val="18"/>
              </w:rPr>
              <w:t>Multi-omic pattern: mRNA–protein (M10)</w:t>
            </w:r>
          </w:p>
        </w:tc>
        <w:tc>
          <w:tcPr>
            <w:tcW w:type="dxa" w:w="3120"/>
          </w:tcPr>
          <w:p>
            <w:r/>
            <w:r>
              <w:rPr>
                <w:rFonts w:ascii="Times New Roman" w:hAnsi="Times New Roman" w:eastAsia="Times New Roman"/>
                <w:b w:val="0"/>
                <w:i w:val="0"/>
                <w:sz w:val="18"/>
              </w:rPr>
              <w:t>Moderate coupling required</w:t>
            </w:r>
          </w:p>
        </w:tc>
      </w:tr>
      <w:tr>
        <w:tc>
          <w:tcPr>
            <w:tcW w:type="dxa" w:w="3120"/>
          </w:tcPr>
          <w:p>
            <w:r/>
            <w:r>
              <w:rPr>
                <w:rFonts w:ascii="Times New Roman" w:hAnsi="Times New Roman" w:eastAsia="Times New Roman"/>
                <w:b w:val="0"/>
                <w:i w:val="0"/>
                <w:sz w:val="18"/>
              </w:rPr>
              <w:t>CV &lt; 1</w:t>
            </w:r>
          </w:p>
        </w:tc>
        <w:tc>
          <w:tcPr>
            <w:tcW w:type="dxa" w:w="3120"/>
          </w:tcPr>
          <w:p>
            <w:r/>
            <w:r>
              <w:rPr>
                <w:rFonts w:ascii="Times New Roman" w:hAnsi="Times New Roman" w:eastAsia="Times New Roman"/>
                <w:b w:val="0"/>
                <w:i w:val="0"/>
                <w:sz w:val="18"/>
              </w:rPr>
              <w:t>Liquid biopsy detectability (M5)</w:t>
            </w:r>
          </w:p>
        </w:tc>
        <w:tc>
          <w:tcPr>
            <w:tcW w:type="dxa" w:w="3120"/>
          </w:tcPr>
          <w:p>
            <w:r/>
            <w:r>
              <w:rPr>
                <w:rFonts w:ascii="Times New Roman" w:hAnsi="Times New Roman" w:eastAsia="Times New Roman"/>
                <w:b w:val="0"/>
                <w:i w:val="0"/>
                <w:sz w:val="18"/>
              </w:rPr>
              <w:t>Excludes SD ≥ mean</w:t>
            </w:r>
          </w:p>
        </w:tc>
      </w:tr>
      <w:tr>
        <w:tc>
          <w:tcPr>
            <w:tcW w:type="dxa" w:w="3120"/>
          </w:tcPr>
          <w:p>
            <w:r/>
            <w:r>
              <w:rPr>
                <w:rFonts w:ascii="Times New Roman" w:hAnsi="Times New Roman" w:eastAsia="Times New Roman"/>
                <w:b w:val="0"/>
                <w:i w:val="0"/>
                <w:sz w:val="18"/>
              </w:rPr>
              <w:t>|r| &gt; 0.5</w:t>
            </w:r>
          </w:p>
        </w:tc>
        <w:tc>
          <w:tcPr>
            <w:tcW w:type="dxa" w:w="3120"/>
          </w:tcPr>
          <w:p>
            <w:r/>
            <w:r>
              <w:rPr>
                <w:rFonts w:ascii="Times New Roman" w:hAnsi="Times New Roman" w:eastAsia="Times New Roman"/>
                <w:b w:val="0"/>
                <w:i w:val="0"/>
                <w:sz w:val="18"/>
              </w:rPr>
              <w:t>Age–methylation dependence (M6)</w:t>
            </w:r>
          </w:p>
        </w:tc>
        <w:tc>
          <w:tcPr>
            <w:tcW w:type="dxa" w:w="3120"/>
          </w:tcPr>
          <w:p>
            <w:r/>
            <w:r>
              <w:rPr>
                <w:rFonts w:ascii="Times New Roman" w:hAnsi="Times New Roman" w:eastAsia="Times New Roman"/>
                <w:b w:val="0"/>
                <w:i w:val="0"/>
                <w:sz w:val="18"/>
              </w:rPr>
              <w:t>Literature-informed; screens without multiplicity correction</w:t>
            </w:r>
          </w:p>
        </w:tc>
      </w:tr>
      <w:tr>
        <w:tc>
          <w:tcPr>
            <w:tcW w:type="dxa" w:w="3120"/>
          </w:tcPr>
          <w:p>
            <w:r/>
            <w:r>
              <w:rPr>
                <w:rFonts w:ascii="Times New Roman" w:hAnsi="Times New Roman" w:eastAsia="Times New Roman"/>
                <w:b w:val="0"/>
                <w:i w:val="0"/>
                <w:sz w:val="18"/>
              </w:rPr>
              <w:t>FDR &lt; 0.05</w:t>
            </w:r>
          </w:p>
        </w:tc>
        <w:tc>
          <w:tcPr>
            <w:tcW w:type="dxa" w:w="3120"/>
          </w:tcPr>
          <w:p>
            <w:r/>
            <w:r>
              <w:rPr>
                <w:rFonts w:ascii="Times New Roman" w:hAnsi="Times New Roman" w:eastAsia="Times New Roman"/>
                <w:b w:val="0"/>
                <w:i w:val="0"/>
                <w:sz w:val="18"/>
              </w:rPr>
              <w:t>Multi-omics correlation analysis / enrichment (M10–M12)</w:t>
            </w:r>
          </w:p>
        </w:tc>
        <w:tc>
          <w:tcPr>
            <w:tcW w:type="dxa" w:w="3120"/>
          </w:tcPr>
          <w:p>
            <w:r/>
            <w:r>
              <w:rPr>
                <w:rFonts w:ascii="Times New Roman" w:hAnsi="Times New Roman" w:eastAsia="Times New Roman"/>
                <w:b w:val="0"/>
                <w:i w:val="0"/>
                <w:sz w:val="18"/>
              </w:rPr>
              <w:t>Benjamini–Hochberg</w:t>
            </w:r>
          </w:p>
        </w:tc>
      </w:tr>
    </w:tbl>
    <w:p/>
    <w:p>
      <w:pPr>
        <w:spacing w:after="120" w:before="160" w:line="276" w:lineRule="auto"/>
      </w:pPr>
      <w:r>
        <w:rPr>
          <w:rFonts w:ascii="Times New Roman" w:hAnsi="Times New Roman" w:eastAsia="Times New Roman"/>
          <w:b/>
          <w:i w:val="0"/>
          <w:sz w:val="26"/>
        </w:rPr>
        <w:t>5. Composite scores (by method number)</w:t>
      </w:r>
    </w:p>
    <w:p>
      <w:pPr>
        <w:spacing w:after="120" w:before="0" w:line="276" w:lineRule="auto"/>
      </w:pPr>
      <w:r>
        <w:rPr>
          <w:rFonts w:ascii="Times New Roman" w:hAnsi="Times New Roman" w:eastAsia="Times New Roman"/>
          <w:b w:val="0"/>
          <w:i w:val="0"/>
          <w:sz w:val="20"/>
        </w:rPr>
        <w:t>M5 — Liquid Biopsy Score = Detectability × (1 + Prognostic Score); ranking only; tissue methylation only.</w:t>
      </w:r>
    </w:p>
    <w:p>
      <w:pPr>
        <w:spacing w:after="120" w:before="0" w:line="276" w:lineRule="auto"/>
      </w:pPr>
      <w:r>
        <w:rPr>
          <w:rFonts w:ascii="Times New Roman" w:hAnsi="Times New Roman" w:eastAsia="Times New Roman"/>
          <w:b w:val="0"/>
          <w:i w:val="0"/>
          <w:sz w:val="20"/>
        </w:rPr>
        <w:t>M8 — Biomarker Score = (−r × 0.4) + (mean β × 0.2) + (−log₁₀(p) × 0.2) + (|Δprotein| × 0.2); ranking only.</w:t>
      </w:r>
    </w:p>
    <w:p>
      <w:pPr>
        <w:spacing w:after="120" w:before="0" w:line="276" w:lineRule="auto"/>
      </w:pPr>
      <w:r>
        <w:rPr>
          <w:rFonts w:ascii="Times New Roman" w:hAnsi="Times New Roman" w:eastAsia="Times New Roman"/>
          <w:b w:val="0"/>
          <w:i w:val="0"/>
          <w:sz w:val="20"/>
        </w:rPr>
        <w:t>M10 — Multi-omics pattern index MOP_g = |ρ(Meth,mRNA)| × |ρ(mRNA,Prot)| × |ρ(Meth,Prot)|; ranking only.</w:t>
      </w:r>
    </w:p>
    <w:p>
      <w:pPr>
        <w:spacing w:after="120" w:before="240" w:line="276" w:lineRule="auto"/>
      </w:pPr>
      <w:r>
        <w:rPr>
          <w:rFonts w:ascii="Times New Roman" w:hAnsi="Times New Roman" w:eastAsia="Times New Roman"/>
          <w:b/>
          <w:i w:val="0"/>
          <w:sz w:val="26"/>
        </w:rPr>
        <w:t>6. Correspondence to main-text Methods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i w:val="0"/>
                <w:sz w:val="20"/>
              </w:rPr>
              <w:t>ID</w:t>
            </w:r>
          </w:p>
        </w:tc>
        <w:tc>
          <w:tcPr>
            <w:tcW w:type="dxa" w:w="3120"/>
          </w:tcPr>
          <w:p>
            <w:r/>
            <w:r>
              <w:rPr>
                <w:rFonts w:ascii="Times New Roman" w:hAnsi="Times New Roman" w:eastAsia="Times New Roman"/>
                <w:b/>
                <w:i w:val="0"/>
                <w:sz w:val="20"/>
              </w:rPr>
              <w:t>Supplementary Methods title</w:t>
            </w:r>
          </w:p>
        </w:tc>
        <w:tc>
          <w:tcPr>
            <w:tcW w:type="dxa" w:w="3120"/>
          </w:tcPr>
          <w:p>
            <w:r/>
            <w:r>
              <w:rPr>
                <w:rFonts w:ascii="Times New Roman" w:hAnsi="Times New Roman" w:eastAsia="Times New Roman"/>
                <w:b/>
                <w:i w:val="0"/>
                <w:sz w:val="20"/>
              </w:rPr>
              <w:t>Main-text Methods heading</w:t>
            </w:r>
          </w:p>
        </w:tc>
      </w:tr>
      <w:tr>
        <w:tc>
          <w:tcPr>
            <w:tcW w:type="dxa" w:w="3120"/>
          </w:tcPr>
          <w:p>
            <w:r/>
            <w:r>
              <w:rPr>
                <w:rFonts w:ascii="Times New Roman" w:hAnsi="Times New Roman" w:eastAsia="Times New Roman"/>
                <w:b w:val="0"/>
                <w:i w:val="0"/>
                <w:sz w:val="18"/>
              </w:rPr>
              <w:t>M1</w:t>
            </w:r>
          </w:p>
        </w:tc>
        <w:tc>
          <w:tcPr>
            <w:tcW w:type="dxa" w:w="3120"/>
          </w:tcPr>
          <w:p>
            <w:r/>
            <w:r>
              <w:rPr>
                <w:rFonts w:ascii="Times New Roman" w:hAnsi="Times New Roman" w:eastAsia="Times New Roman"/>
                <w:b w:val="0"/>
                <w:i w:val="0"/>
                <w:sz w:val="18"/>
              </w:rPr>
              <w:t>Data cohort and preprocessing</w:t>
            </w:r>
          </w:p>
        </w:tc>
        <w:tc>
          <w:tcPr>
            <w:tcW w:type="dxa" w:w="3120"/>
          </w:tcPr>
          <w:p>
            <w:r/>
            <w:r>
              <w:rPr>
                <w:rFonts w:ascii="Times New Roman" w:hAnsi="Times New Roman" w:eastAsia="Times New Roman"/>
                <w:b w:val="0"/>
                <w:i w:val="0"/>
                <w:sz w:val="18"/>
              </w:rPr>
              <w:t>Data and cohort</w:t>
            </w:r>
          </w:p>
        </w:tc>
      </w:tr>
      <w:tr>
        <w:tc>
          <w:tcPr>
            <w:tcW w:type="dxa" w:w="3120"/>
          </w:tcPr>
          <w:p>
            <w:r/>
            <w:r>
              <w:rPr>
                <w:rFonts w:ascii="Times New Roman" w:hAnsi="Times New Roman" w:eastAsia="Times New Roman"/>
                <w:b w:val="0"/>
                <w:i w:val="0"/>
                <w:sz w:val="18"/>
              </w:rPr>
              <w:t>M2</w:t>
            </w:r>
          </w:p>
        </w:tc>
        <w:tc>
          <w:tcPr>
            <w:tcW w:type="dxa" w:w="3120"/>
          </w:tcPr>
          <w:p>
            <w:r/>
            <w:r>
              <w:rPr>
                <w:rFonts w:ascii="Times New Roman" w:hAnsi="Times New Roman" w:eastAsia="Times New Roman"/>
                <w:b w:val="0"/>
                <w:i w:val="0"/>
                <w:sz w:val="18"/>
              </w:rPr>
              <w:t>External and internal validation</w:t>
            </w:r>
          </w:p>
        </w:tc>
        <w:tc>
          <w:tcPr>
            <w:tcW w:type="dxa" w:w="3120"/>
          </w:tcPr>
          <w:p>
            <w:r/>
            <w:r>
              <w:rPr>
                <w:rFonts w:ascii="Times New Roman" w:hAnsi="Times New Roman" w:eastAsia="Times New Roman"/>
                <w:b w:val="0"/>
                <w:i w:val="0"/>
                <w:sz w:val="18"/>
              </w:rPr>
              <w:t>External validation</w:t>
            </w:r>
          </w:p>
        </w:tc>
      </w:tr>
      <w:tr>
        <w:tc>
          <w:tcPr>
            <w:tcW w:type="dxa" w:w="3120"/>
          </w:tcPr>
          <w:p>
            <w:r/>
            <w:r>
              <w:rPr>
                <w:rFonts w:ascii="Times New Roman" w:hAnsi="Times New Roman" w:eastAsia="Times New Roman"/>
                <w:b w:val="0"/>
                <w:i w:val="0"/>
                <w:sz w:val="18"/>
              </w:rPr>
              <w:t>M3</w:t>
            </w:r>
          </w:p>
        </w:tc>
        <w:tc>
          <w:tcPr>
            <w:tcW w:type="dxa" w:w="3120"/>
          </w:tcPr>
          <w:p>
            <w:r/>
            <w:r>
              <w:rPr>
                <w:rFonts w:ascii="Times New Roman" w:hAnsi="Times New Roman" w:eastAsia="Times New Roman"/>
                <w:b w:val="0"/>
                <w:i w:val="0"/>
                <w:sz w:val="18"/>
              </w:rPr>
              <w:t>Software</w:t>
            </w:r>
          </w:p>
        </w:tc>
        <w:tc>
          <w:tcPr>
            <w:tcW w:type="dxa" w:w="3120"/>
          </w:tcPr>
          <w:p>
            <w:r/>
            <w:r>
              <w:rPr>
                <w:rFonts w:ascii="Times New Roman" w:hAnsi="Times New Roman" w:eastAsia="Times New Roman"/>
                <w:b w:val="0"/>
                <w:i w:val="0"/>
                <w:sz w:val="18"/>
              </w:rPr>
              <w:t>Software</w:t>
            </w:r>
          </w:p>
        </w:tc>
      </w:tr>
      <w:tr>
        <w:tc>
          <w:tcPr>
            <w:tcW w:type="dxa" w:w="3120"/>
          </w:tcPr>
          <w:p>
            <w:r/>
            <w:r>
              <w:rPr>
                <w:rFonts w:ascii="Times New Roman" w:hAnsi="Times New Roman" w:eastAsia="Times New Roman"/>
                <w:b w:val="0"/>
                <w:i w:val="0"/>
                <w:sz w:val="18"/>
              </w:rPr>
              <w:t>M4</w:t>
            </w:r>
          </w:p>
        </w:tc>
        <w:tc>
          <w:tcPr>
            <w:tcW w:type="dxa" w:w="3120"/>
          </w:tcPr>
          <w:p>
            <w:r/>
            <w:r>
              <w:rPr>
                <w:rFonts w:ascii="Times New Roman" w:hAnsi="Times New Roman" w:eastAsia="Times New Roman"/>
                <w:b w:val="0"/>
                <w:i w:val="0"/>
                <w:sz w:val="18"/>
              </w:rPr>
              <w:t>Methylation–protein discordance classification</w:t>
            </w:r>
          </w:p>
        </w:tc>
        <w:tc>
          <w:tcPr>
            <w:tcW w:type="dxa" w:w="3120"/>
          </w:tcPr>
          <w:p>
            <w:r/>
            <w:r>
              <w:rPr>
                <w:rFonts w:ascii="Times New Roman" w:hAnsi="Times New Roman" w:eastAsia="Times New Roman"/>
                <w:b w:val="0"/>
                <w:i w:val="0"/>
                <w:sz w:val="18"/>
              </w:rPr>
              <w:t>Discordance analysis</w:t>
            </w:r>
          </w:p>
        </w:tc>
      </w:tr>
      <w:tr>
        <w:tc>
          <w:tcPr>
            <w:tcW w:type="dxa" w:w="3120"/>
          </w:tcPr>
          <w:p>
            <w:r/>
            <w:r>
              <w:rPr>
                <w:rFonts w:ascii="Times New Roman" w:hAnsi="Times New Roman" w:eastAsia="Times New Roman"/>
                <w:b w:val="0"/>
                <w:i w:val="0"/>
                <w:sz w:val="18"/>
              </w:rPr>
              <w:t>M5</w:t>
            </w:r>
          </w:p>
        </w:tc>
        <w:tc>
          <w:tcPr>
            <w:tcW w:type="dxa" w:w="3120"/>
          </w:tcPr>
          <w:p>
            <w:r/>
            <w:r>
              <w:rPr>
                <w:rFonts w:ascii="Times New Roman" w:hAnsi="Times New Roman" w:eastAsia="Times New Roman"/>
                <w:b w:val="0"/>
                <w:i w:val="0"/>
                <w:sz w:val="18"/>
              </w:rPr>
              <w:t>Liquid biopsy Detectability, Prognostic and Liquid Biopsy Scores</w:t>
            </w:r>
          </w:p>
        </w:tc>
        <w:tc>
          <w:tcPr>
            <w:tcW w:type="dxa" w:w="3120"/>
          </w:tcPr>
          <w:p>
            <w:r/>
            <w:r>
              <w:rPr>
                <w:rFonts w:ascii="Times New Roman" w:hAnsi="Times New Roman" w:eastAsia="Times New Roman"/>
                <w:b w:val="0"/>
                <w:i w:val="0"/>
                <w:sz w:val="18"/>
              </w:rPr>
              <w:t>Liquid biopsy candidate prioritisation</w:t>
            </w:r>
          </w:p>
        </w:tc>
      </w:tr>
      <w:tr>
        <w:tc>
          <w:tcPr>
            <w:tcW w:type="dxa" w:w="3120"/>
          </w:tcPr>
          <w:p>
            <w:r/>
            <w:r>
              <w:rPr>
                <w:rFonts w:ascii="Times New Roman" w:hAnsi="Times New Roman" w:eastAsia="Times New Roman"/>
                <w:b w:val="0"/>
                <w:i w:val="0"/>
                <w:sz w:val="18"/>
              </w:rPr>
              <w:t>M6</w:t>
            </w:r>
          </w:p>
        </w:tc>
        <w:tc>
          <w:tcPr>
            <w:tcW w:type="dxa" w:w="3120"/>
          </w:tcPr>
          <w:p>
            <w:r/>
            <w:r>
              <w:rPr>
                <w:rFonts w:ascii="Times New Roman" w:hAnsi="Times New Roman" w:eastAsia="Times New Roman"/>
                <w:b w:val="0"/>
                <w:i w:val="0"/>
                <w:sz w:val="18"/>
              </w:rPr>
              <w:t>Age–sex methylation analysis</w:t>
            </w:r>
          </w:p>
        </w:tc>
        <w:tc>
          <w:tcPr>
            <w:tcW w:type="dxa" w:w="3120"/>
          </w:tcPr>
          <w:p>
            <w:r/>
            <w:r>
              <w:rPr>
                <w:rFonts w:ascii="Times New Roman" w:hAnsi="Times New Roman" w:eastAsia="Times New Roman"/>
                <w:b w:val="0"/>
                <w:i w:val="0"/>
                <w:sz w:val="18"/>
              </w:rPr>
              <w:t>Age–sex analysis</w:t>
            </w:r>
          </w:p>
        </w:tc>
      </w:tr>
      <w:tr>
        <w:tc>
          <w:tcPr>
            <w:tcW w:type="dxa" w:w="3120"/>
          </w:tcPr>
          <w:p>
            <w:r/>
            <w:r>
              <w:rPr>
                <w:rFonts w:ascii="Times New Roman" w:hAnsi="Times New Roman" w:eastAsia="Times New Roman"/>
                <w:b w:val="0"/>
                <w:i w:val="0"/>
                <w:sz w:val="18"/>
              </w:rPr>
              <w:t>M7</w:t>
            </w:r>
          </w:p>
        </w:tc>
        <w:tc>
          <w:tcPr>
            <w:tcW w:type="dxa" w:w="3120"/>
          </w:tcPr>
          <w:p>
            <w:r/>
            <w:r>
              <w:rPr>
                <w:rFonts w:ascii="Times New Roman" w:hAnsi="Times New Roman" w:eastAsia="Times New Roman"/>
                <w:b w:val="0"/>
                <w:i w:val="0"/>
                <w:sz w:val="18"/>
              </w:rPr>
              <w:t>Tumour purity estimation</w:t>
            </w:r>
          </w:p>
        </w:tc>
        <w:tc>
          <w:tcPr>
            <w:tcW w:type="dxa" w:w="3120"/>
          </w:tcPr>
          <w:p>
            <w:r/>
            <w:r>
              <w:rPr>
                <w:rFonts w:ascii="Times New Roman" w:hAnsi="Times New Roman" w:eastAsia="Times New Roman"/>
                <w:b w:val="0"/>
                <w:i w:val="0"/>
                <w:sz w:val="18"/>
              </w:rPr>
              <w:t>Tumour purity analysis</w:t>
            </w:r>
          </w:p>
        </w:tc>
      </w:tr>
      <w:tr>
        <w:tc>
          <w:tcPr>
            <w:tcW w:type="dxa" w:w="3120"/>
          </w:tcPr>
          <w:p>
            <w:r/>
            <w:r>
              <w:rPr>
                <w:rFonts w:ascii="Times New Roman" w:hAnsi="Times New Roman" w:eastAsia="Times New Roman"/>
                <w:b w:val="0"/>
                <w:i w:val="0"/>
                <w:sz w:val="18"/>
              </w:rPr>
              <w:t>M8</w:t>
            </w:r>
          </w:p>
        </w:tc>
        <w:tc>
          <w:tcPr>
            <w:tcW w:type="dxa" w:w="3120"/>
          </w:tcPr>
          <w:p>
            <w:r/>
            <w:r>
              <w:rPr>
                <w:rFonts w:ascii="Times New Roman" w:hAnsi="Times New Roman" w:eastAsia="Times New Roman"/>
                <w:b w:val="0"/>
                <w:i w:val="0"/>
                <w:sz w:val="18"/>
              </w:rPr>
              <w:t>Biomarker discovery and Biomarker Score</w:t>
            </w:r>
          </w:p>
        </w:tc>
        <w:tc>
          <w:tcPr>
            <w:tcW w:type="dxa" w:w="3120"/>
          </w:tcPr>
          <w:p>
            <w:r/>
            <w:r>
              <w:rPr>
                <w:rFonts w:ascii="Times New Roman" w:hAnsi="Times New Roman" w:eastAsia="Times New Roman"/>
                <w:b w:val="0"/>
                <w:i w:val="0"/>
                <w:sz w:val="18"/>
              </w:rPr>
              <w:t>Biomarker discovery</w:t>
            </w:r>
          </w:p>
        </w:tc>
      </w:tr>
      <w:tr>
        <w:tc>
          <w:tcPr>
            <w:tcW w:type="dxa" w:w="3120"/>
          </w:tcPr>
          <w:p>
            <w:r/>
            <w:r>
              <w:rPr>
                <w:rFonts w:ascii="Times New Roman" w:hAnsi="Times New Roman" w:eastAsia="Times New Roman"/>
                <w:b w:val="0"/>
                <w:i w:val="0"/>
                <w:sz w:val="18"/>
              </w:rPr>
              <w:t>M9</w:t>
            </w:r>
          </w:p>
        </w:tc>
        <w:tc>
          <w:tcPr>
            <w:tcW w:type="dxa" w:w="3120"/>
          </w:tcPr>
          <w:p>
            <w:r/>
            <w:r>
              <w:rPr>
                <w:rFonts w:ascii="Times New Roman" w:hAnsi="Times New Roman" w:eastAsia="Times New Roman"/>
                <w:b w:val="0"/>
                <w:i w:val="0"/>
                <w:sz w:val="18"/>
              </w:rPr>
              <w:t>Survival analysis (Kaplan–Meier, log-rank, Cox)</w:t>
            </w:r>
          </w:p>
        </w:tc>
        <w:tc>
          <w:tcPr>
            <w:tcW w:type="dxa" w:w="3120"/>
          </w:tcPr>
          <w:p>
            <w:r/>
            <w:r>
              <w:rPr>
                <w:rFonts w:ascii="Times New Roman" w:hAnsi="Times New Roman" w:eastAsia="Times New Roman"/>
                <w:b w:val="0"/>
                <w:i w:val="0"/>
                <w:sz w:val="18"/>
              </w:rPr>
              <w:t>Biomarker discovery (survival testing)</w:t>
            </w:r>
          </w:p>
        </w:tc>
      </w:tr>
      <w:tr>
        <w:tc>
          <w:tcPr>
            <w:tcW w:type="dxa" w:w="3120"/>
          </w:tcPr>
          <w:p>
            <w:r/>
            <w:r>
              <w:rPr>
                <w:rFonts w:ascii="Times New Roman" w:hAnsi="Times New Roman" w:eastAsia="Times New Roman"/>
                <w:b w:val="0"/>
                <w:i w:val="0"/>
                <w:sz w:val="18"/>
              </w:rPr>
              <w:t>M10</w:t>
            </w:r>
          </w:p>
        </w:tc>
        <w:tc>
          <w:tcPr>
            <w:tcW w:type="dxa" w:w="3120"/>
          </w:tcPr>
          <w:p>
            <w:r/>
            <w:r>
              <w:rPr>
                <w:rFonts w:ascii="Times New Roman" w:hAnsi="Times New Roman" w:eastAsia="Times New Roman"/>
                <w:b w:val="0"/>
                <w:i w:val="0"/>
                <w:sz w:val="18"/>
              </w:rPr>
              <w:t>Multi-omics correlation analysis and multi-omics pattern index (MOP_g)</w:t>
            </w:r>
          </w:p>
        </w:tc>
        <w:tc>
          <w:tcPr>
            <w:tcW w:type="dxa" w:w="3120"/>
          </w:tcPr>
          <w:p>
            <w:r/>
            <w:r>
              <w:rPr>
                <w:rFonts w:ascii="Times New Roman" w:hAnsi="Times New Roman" w:eastAsia="Times New Roman"/>
                <w:b w:val="0"/>
                <w:i w:val="0"/>
                <w:sz w:val="18"/>
              </w:rPr>
              <w:t>Multi-omics correlation analysis</w:t>
            </w:r>
          </w:p>
        </w:tc>
      </w:tr>
      <w:tr>
        <w:tc>
          <w:tcPr>
            <w:tcW w:type="dxa" w:w="3120"/>
          </w:tcPr>
          <w:p>
            <w:r/>
            <w:r>
              <w:rPr>
                <w:rFonts w:ascii="Times New Roman" w:hAnsi="Times New Roman" w:eastAsia="Times New Roman"/>
                <w:b w:val="0"/>
                <w:i w:val="0"/>
                <w:sz w:val="18"/>
              </w:rPr>
              <w:t>M11</w:t>
            </w:r>
          </w:p>
        </w:tc>
        <w:tc>
          <w:tcPr>
            <w:tcW w:type="dxa" w:w="3120"/>
          </w:tcPr>
          <w:p>
            <w:r/>
            <w:r>
              <w:rPr>
                <w:rFonts w:ascii="Times New Roman" w:hAnsi="Times New Roman" w:eastAsia="Times New Roman"/>
                <w:b w:val="0"/>
                <w:i w:val="0"/>
                <w:sz w:val="18"/>
              </w:rPr>
              <w:t>Spearman correlation and multiple-testing correction</w:t>
            </w:r>
          </w:p>
        </w:tc>
        <w:tc>
          <w:tcPr>
            <w:tcW w:type="dxa" w:w="3120"/>
          </w:tcPr>
          <w:p>
            <w:r/>
            <w:r>
              <w:rPr>
                <w:rFonts w:ascii="Times New Roman" w:hAnsi="Times New Roman" w:eastAsia="Times New Roman"/>
                <w:b w:val="0"/>
                <w:i w:val="0"/>
                <w:sz w:val="18"/>
              </w:rPr>
              <w:t>Statistics and reproducibility (cross-cutting)</w:t>
            </w:r>
          </w:p>
        </w:tc>
      </w:tr>
      <w:tr>
        <w:tc>
          <w:tcPr>
            <w:tcW w:type="dxa" w:w="3120"/>
          </w:tcPr>
          <w:p>
            <w:r/>
            <w:r>
              <w:rPr>
                <w:rFonts w:ascii="Times New Roman" w:hAnsi="Times New Roman" w:eastAsia="Times New Roman"/>
                <w:b w:val="0"/>
                <w:i w:val="0"/>
                <w:sz w:val="18"/>
              </w:rPr>
              <w:t>M12</w:t>
            </w:r>
          </w:p>
        </w:tc>
        <w:tc>
          <w:tcPr>
            <w:tcW w:type="dxa" w:w="3120"/>
          </w:tcPr>
          <w:p>
            <w:r/>
            <w:r>
              <w:rPr>
                <w:rFonts w:ascii="Times New Roman" w:hAnsi="Times New Roman" w:eastAsia="Times New Roman"/>
                <w:b w:val="0"/>
                <w:i w:val="0"/>
                <w:sz w:val="18"/>
              </w:rPr>
              <w:t>Pathway enrichment (DAVID / Gene Ontology)</w:t>
            </w:r>
          </w:p>
        </w:tc>
        <w:tc>
          <w:tcPr>
            <w:tcW w:type="dxa" w:w="3120"/>
          </w:tcPr>
          <w:p>
            <w:r/>
            <w:r>
              <w:rPr>
                <w:rFonts w:ascii="Times New Roman" w:hAnsi="Times New Roman" w:eastAsia="Times New Roman"/>
                <w:b w:val="0"/>
                <w:i w:val="0"/>
                <w:sz w:val="18"/>
              </w:rPr>
              <w:t>Discordance analysis / multi-omics pattern (enrichment)</w:t>
            </w:r>
          </w:p>
        </w:tc>
      </w:tr>
      <w:tr>
        <w:tc>
          <w:tcPr>
            <w:tcW w:type="dxa" w:w="3120"/>
          </w:tcPr>
          <w:p>
            <w:r/>
            <w:r>
              <w:rPr>
                <w:rFonts w:ascii="Times New Roman" w:hAnsi="Times New Roman" w:eastAsia="Times New Roman"/>
                <w:b w:val="0"/>
                <w:i w:val="0"/>
                <w:sz w:val="18"/>
              </w:rPr>
              <w:t>M13</w:t>
            </w:r>
          </w:p>
        </w:tc>
        <w:tc>
          <w:tcPr>
            <w:tcW w:type="dxa" w:w="3120"/>
          </w:tcPr>
          <w:p>
            <w:r/>
            <w:r>
              <w:rPr>
                <w:rFonts w:ascii="Times New Roman" w:hAnsi="Times New Roman" w:eastAsia="Times New Roman"/>
                <w:b w:val="0"/>
                <w:i w:val="0"/>
                <w:sz w:val="18"/>
              </w:rPr>
              <w:t>Statistical analysis plan and REMARK reporting</w:t>
            </w:r>
          </w:p>
        </w:tc>
        <w:tc>
          <w:tcPr>
            <w:tcW w:type="dxa" w:w="3120"/>
          </w:tcPr>
          <w:p>
            <w:r/>
            <w:r>
              <w:rPr>
                <w:rFonts w:ascii="Times New Roman" w:hAnsi="Times New Roman" w:eastAsia="Times New Roman"/>
                <w:b w:val="0"/>
                <w:i w:val="0"/>
                <w:sz w:val="18"/>
              </w:rPr>
              <w:t>Statistics and reproducibility</w:t>
            </w:r>
          </w:p>
        </w:tc>
      </w:tr>
      <w:tr>
        <w:tc>
          <w:tcPr>
            <w:tcW w:type="dxa" w:w="3120"/>
          </w:tcPr>
          <w:p>
            <w:r/>
            <w:r>
              <w:rPr>
                <w:rFonts w:ascii="Times New Roman" w:hAnsi="Times New Roman" w:eastAsia="Times New Roman"/>
                <w:b w:val="0"/>
                <w:i w:val="0"/>
                <w:sz w:val="18"/>
              </w:rPr>
              <w:t>M14</w:t>
            </w:r>
          </w:p>
        </w:tc>
        <w:tc>
          <w:tcPr>
            <w:tcW w:type="dxa" w:w="3120"/>
          </w:tcPr>
          <w:p>
            <w:r/>
            <w:r>
              <w:rPr>
                <w:rFonts w:ascii="Times New Roman" w:hAnsi="Times New Roman" w:eastAsia="Times New Roman"/>
                <w:b w:val="0"/>
                <w:i w:val="0"/>
                <w:sz w:val="18"/>
              </w:rPr>
              <w:t>Code availability</w:t>
            </w:r>
          </w:p>
        </w:tc>
        <w:tc>
          <w:tcPr>
            <w:tcW w:type="dxa" w:w="3120"/>
          </w:tcPr>
          <w:p>
            <w:r/>
            <w:r>
              <w:rPr>
                <w:rFonts w:ascii="Times New Roman" w:hAnsi="Times New Roman" w:eastAsia="Times New Roman"/>
                <w:b w:val="0"/>
                <w:i w:val="0"/>
                <w:sz w:val="18"/>
              </w:rPr>
              <w:t>Code availability</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