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Supplementary Methods</w:t>
      </w:r>
    </w:p>
    <w:p/>
    <w:p>
      <w:pPr>
        <w:spacing w:after="240"/>
      </w:pPr>
      <w:r>
        <w:rPr>
          <w:i/>
        </w:rPr>
        <w:t>For npj Precision Oncology, analytical methods are reported in the main manuscript Methods section. This document provides extended technical detail for reference and reproducibility. It is not cited in the main text and should be merged into the single Supplementary Information PDF (Tables + Figures only) or retained as an internal archive as required by the journal.</w:t>
      </w:r>
    </w:p>
    <w:p>
      <w:pPr>
        <w:pStyle w:val="Heading1"/>
      </w:pPr>
      <w:r>
        <w:t>1. Data sources and cohort</w:t>
      </w:r>
    </w:p>
    <w:p>
      <w:r>
        <w:t>Integrated DNA methylation (Illumina EPIC), mRNA expression, and protein abundance data were obtained from the TCGA-CPTAC glioblastoma cohort (n = 97 patients with complete multi-omics data; Wang et al., 2021). After quality control (features with &gt;50% missing values excluded), median imputation was applied per feature. EPIC probe-to-gene mapping used Illumina manifest annotations; where probes map to multiple genes (e.g., SEL1L2/MACROD2, RP11-1C8.4/RIMS2, SEPT8/CCNI2), the primary annotated gene is reported in main text with alternate mapping noted.</w:t>
      </w:r>
    </w:p>
    <w:p>
      <w:pPr>
        <w:pStyle w:val="Heading1"/>
      </w:pPr>
      <w:r>
        <w:t>2. Software and reproducibility</w:t>
      </w:r>
    </w:p>
    <w:p>
      <w:r>
        <w:t>Analyses were performed in Python 3 (pandas, NumPy, SciPy, lifelines, scikit-learn, matplotlib, seaborn). Analysis scripts are organized in the Codes/ directory (A_Core, B_Figures, C_Tables, D_Validation). Random seeds were fixed where applicable (train-test split). FDR correction used Benjamini-Hochberg at α = 0.05.</w:t>
      </w:r>
    </w:p>
    <w:p>
      <w:pPr>
        <w:pStyle w:val="Heading1"/>
      </w:pPr>
      <w:r>
        <w:t>3. Cascade analysis and Cascade Index</w:t>
      </w:r>
    </w:p>
    <w:p>
      <w:r>
        <w:t>Genes exhibiting high-methylation → low-expression → low-protein cascade satisfied: (1) mean methylation β above cohort median; (2) methylation–mRNA Spearman r &lt; −0.1, FDR &lt; 0.05; (3) mRNA–protein r &gt; 0.3, FDR &lt; 0.05; (4) methylation–protein r &lt; −0.1, FDR &lt; 0.05. The Cascade Index (CI_g) integrated normalized methylation, expression, and protein levels per gene to rank cascade strength across the cohort.</w:t>
      </w:r>
    </w:p>
    <w:p>
      <w:pPr>
        <w:pStyle w:val="Heading1"/>
      </w:pPr>
      <w:r>
        <w:t>4. Biomarker discovery and survival analysis</w:t>
      </w:r>
    </w:p>
    <w:p>
      <w:r>
        <w:t>Biomarker candidates required mean DNA methylation β &gt; 0.7 and significant negative methylation–protein Spearman correlation (p &lt; 0.05). Composite biomarker score combined correlation strength, methylation level, p-value, and protein difference. Survival stratification: high methylation (β &gt; 0.7) vs low (β ≤ 0.7); Kaplan-Meier curves with log-rank tests. Multivariate Cox proportional hazards models adjusted for age and sex (lifelines); hazard ratios with 95% CI reported in Supplementary Table 6.</w:t>
      </w:r>
    </w:p>
    <w:p>
      <w:pPr>
        <w:pStyle w:val="Heading1"/>
      </w:pPr>
      <w:r>
        <w:t>5. Age- and sex-specific methylation</w:t>
      </w:r>
    </w:p>
    <w:p>
      <w:r>
        <w:t>Age–methylation Spearman correlations computed separately for males and females. Age-dependent genes: |r| &gt; 0.5, p &lt; 0.05. Age categories: Young (0–40 years), Mid (41–55), Old (56+). Sex differences tested with Mann-Whitney U.</w:t>
      </w:r>
    </w:p>
    <w:p>
      <w:pPr>
        <w:pStyle w:val="Heading1"/>
      </w:pPr>
      <w:r>
        <w:t>6. In silico liquid biopsy candidate prioritization</w:t>
      </w:r>
    </w:p>
    <w:p>
      <w:r>
        <w:t>Methylation-based liquid biopsy candidates were prioritized in silico (not validated in plasma). Liquid Biopsy Score = Detectability Score × (1 + Prognostic Score). Detectability Score = mean methylation × (1/(1+CV)) for genes with CV &lt; 1. Prognostic Score = −log₁₀(p) for survival association when p &lt; 0.05, else 0. Top 50 genes retained (Supplementary Tables 11–13).</w:t>
      </w:r>
    </w:p>
    <w:p>
      <w:pPr>
        <w:pStyle w:val="Heading1"/>
      </w:pPr>
      <w:r>
        <w:t>7. Methylation–protein discordance</w:t>
      </w:r>
    </w:p>
    <w:p>
      <w:r>
        <w:t>Discordant genes defined as |methylation–protein Spearman r| &lt; 0.2. Categories: discordant (|r| &lt; 0.2), moderate (0.2 ≤ |r| &lt; 0.5), concordant high (r ≥ 0.5), concordant negative (r ≤ −0.5). Full gene list in Supplementary Table 14 (n = 232 discordant genes in TCGA-CPTAC cohort).</w:t>
      </w:r>
    </w:p>
    <w:p>
      <w:pPr>
        <w:pStyle w:val="Heading1"/>
      </w:pPr>
      <w:r>
        <w:t>8. Tumor purity (ESTIMATE)</w:t>
      </w:r>
    </w:p>
    <w:p>
      <w:r>
        <w:t>Tumor purity and immune/stromal scores were estimated with ESTIMATE from mRNA expression profiles to assess confounding of methylation–survival associations.</w:t>
      </w:r>
    </w:p>
    <w:p>
      <w:pPr>
        <w:pStyle w:val="Heading1"/>
      </w:pPr>
      <w:r>
        <w:t>9. Pathway enrichment</w:t>
      </w:r>
    </w:p>
    <w:p>
      <w:r>
        <w:t>DAVID and Gene Ontology enrichment for cascade, age-sex, and discordant gene sets; Benjamini-Hochberg FDR correction.</w:t>
      </w:r>
    </w:p>
    <w:p>
      <w:pPr>
        <w:pStyle w:val="Heading1"/>
      </w:pPr>
      <w:r>
        <w:t>10. External and internal validation</w:t>
      </w:r>
    </w:p>
    <w:p>
      <w:r>
        <w:t>Internal validation (TCGA-CPTAC): 70/30 train-test split; six biomarkers tested on held-out samples (β &gt; 0.7 vs β ≤ 0.7; Kaplan-Meier, log-rank). External cohorts: GSE7696 (expression, n = 80; low expression as proxy for high methylation) and GSE230770 (EPIC methylation, n = 51 IDH-wild-type GBM). Probe mappings: B4GALT1 (222163_s_at), EGFR (201983_s_at, 211607_x_at, cg18809074), VASP (201651_s_at, cg03547355), GFPT2 (218628_at), PHF11 (221731_x_at), TSPYL5 (221840_at, cg07814318). Concordance = directional agreement with TCGA (high methylation or low expression associated with longer survival). Five of six biomarkers showed concordant direction in ≥1 external dataset (EGFR and TSPYL5 in both; Supplementary Tables 18–20).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