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56872" w:rsidRPr="00E71DCE" w:rsidRDefault="00E71DCE" w:rsidP="00E71DCE">
      <w:pPr>
        <w:jc w:val="center"/>
        <w:rPr>
          <w:rFonts w:ascii="Times New Roman" w:hAnsi="Times New Roman" w:cs="Times New Roman"/>
          <w:sz w:val="32"/>
          <w:szCs w:val="32"/>
        </w:rPr>
      </w:pPr>
      <w:r w:rsidRPr="00E71DCE">
        <w:rPr>
          <w:rFonts w:ascii="Times New Roman" w:hAnsi="Times New Roman" w:cs="Times New Roman"/>
          <w:b/>
          <w:sz w:val="32"/>
          <w:szCs w:val="32"/>
        </w:rPr>
        <w:t>Supplementary Methods</w:t>
      </w:r>
    </w:p>
    <w:p w:rsidR="00356872" w:rsidRPr="00E71DCE" w:rsidRDefault="00000000" w:rsidP="00E71DCE">
      <w:pPr>
        <w:spacing w:after="240"/>
        <w:jc w:val="both"/>
        <w:rPr>
          <w:rFonts w:ascii="Times New Roman" w:hAnsi="Times New Roman" w:cs="Times New Roman"/>
          <w:sz w:val="24"/>
          <w:szCs w:val="24"/>
        </w:rPr>
      </w:pPr>
      <w:r w:rsidRPr="00E71DCE">
        <w:rPr>
          <w:rFonts w:ascii="Times New Roman" w:hAnsi="Times New Roman" w:cs="Times New Roman"/>
          <w:i/>
          <w:sz w:val="24"/>
          <w:szCs w:val="24"/>
        </w:rPr>
        <w:t>For npj Precision Oncology, analytical methods are reported in the main manuscript Methods section. This document provides extended technical detail for reference and reproducibility. It is not cited in the main text and should be merged into the single Supplementary Information PDF (Tables + Figures only) or retained as an internal archive as required by the journal.</w:t>
      </w:r>
    </w:p>
    <w:p w:rsidR="00E71DCE" w:rsidRPr="00E71DCE" w:rsidRDefault="00E71DCE" w:rsidP="00E71DCE">
      <w:pPr>
        <w:jc w:val="both"/>
        <w:rPr>
          <w:rFonts w:ascii="Times New Roman" w:hAnsi="Times New Roman" w:cs="Times New Roman"/>
          <w:sz w:val="24"/>
          <w:szCs w:val="24"/>
        </w:rPr>
      </w:pPr>
      <w:r w:rsidRPr="00E71DCE">
        <w:rPr>
          <w:rFonts w:ascii="Times New Roman" w:hAnsi="Times New Roman" w:cs="Times New Roman"/>
          <w:b/>
          <w:sz w:val="24"/>
          <w:szCs w:val="24"/>
        </w:rPr>
        <w:t>Supplementary Methods: Statistical Methods and Score Definitions</w:t>
      </w:r>
    </w:p>
    <w:p w:rsidR="00E71DCE" w:rsidRPr="00E71DCE" w:rsidRDefault="00E71DCE" w:rsidP="00E71DCE">
      <w:pPr>
        <w:jc w:val="both"/>
        <w:rPr>
          <w:rFonts w:ascii="Times New Roman" w:hAnsi="Times New Roman" w:cs="Times New Roman"/>
          <w:sz w:val="24"/>
          <w:szCs w:val="24"/>
        </w:rPr>
      </w:pPr>
      <w:r w:rsidRPr="00E71DCE">
        <w:rPr>
          <w:rFonts w:ascii="Times New Roman" w:hAnsi="Times New Roman" w:cs="Times New Roman"/>
          <w:sz w:val="24"/>
          <w:szCs w:val="24"/>
        </w:rPr>
        <w:t>This section provides expanded definitions, formulas, and references for the composite scores and statistical methods summarized in the main-text Methods, to support transparency and reproducibility. Subsections are numbered (Statistical Methods 1–6) in the order they are first cited in the main text. The Cascade Index, Composite Biomarker Score, Detectability Score, Prognostic Score, and Liquid Biopsy Score are study-specific composite metrics introduced here; their constituent statistics rely on established methods listed in the main reference list.</w:t>
      </w:r>
    </w:p>
    <w:p w:rsidR="00E71DCE" w:rsidRPr="00E71DCE" w:rsidRDefault="00E71DCE" w:rsidP="00E71DCE">
      <w:pPr>
        <w:jc w:val="both"/>
        <w:rPr>
          <w:rFonts w:ascii="Times New Roman" w:hAnsi="Times New Roman" w:cs="Times New Roman"/>
          <w:sz w:val="24"/>
          <w:szCs w:val="24"/>
        </w:rPr>
      </w:pPr>
      <w:r w:rsidRPr="00E71DCE">
        <w:rPr>
          <w:rFonts w:ascii="Times New Roman" w:hAnsi="Times New Roman" w:cs="Times New Roman"/>
          <w:b/>
          <w:sz w:val="24"/>
          <w:szCs w:val="24"/>
        </w:rPr>
        <w:t xml:space="preserve">Statistical Methods 1. Correlation and multiple-testing correction. </w:t>
      </w:r>
      <w:r w:rsidRPr="00E71DCE">
        <w:rPr>
          <w:rFonts w:ascii="Times New Roman" w:hAnsi="Times New Roman" w:cs="Times New Roman"/>
          <w:sz w:val="24"/>
          <w:szCs w:val="24"/>
        </w:rPr>
        <w:t xml:space="preserve">Associations between molecular layers were quantified with Spearman’s rank correlation coefficient (ρ), a non-parametric measure robust to non-linear monotonic relationships and outliers (19). For gene-wide analyses, p-values were adjusted for multiple comparisons using the </w:t>
      </w:r>
      <w:proofErr w:type="spellStart"/>
      <w:r w:rsidRPr="00E71DCE">
        <w:rPr>
          <w:rFonts w:ascii="Times New Roman" w:hAnsi="Times New Roman" w:cs="Times New Roman"/>
          <w:sz w:val="24"/>
          <w:szCs w:val="24"/>
        </w:rPr>
        <w:t>Benjamini</w:t>
      </w:r>
      <w:proofErr w:type="spellEnd"/>
      <w:r w:rsidRPr="00E71DCE">
        <w:rPr>
          <w:rFonts w:ascii="Times New Roman" w:hAnsi="Times New Roman" w:cs="Times New Roman"/>
          <w:sz w:val="24"/>
          <w:szCs w:val="24"/>
        </w:rPr>
        <w:t>–Hochberg false-discovery-rate procedure, with significance at FDR &lt; 0.05 (20).</w:t>
      </w:r>
    </w:p>
    <w:p w:rsidR="00E71DCE" w:rsidRPr="00E71DCE" w:rsidRDefault="00E71DCE" w:rsidP="00E71DCE">
      <w:pPr>
        <w:jc w:val="both"/>
        <w:rPr>
          <w:rFonts w:ascii="Times New Roman" w:hAnsi="Times New Roman" w:cs="Times New Roman"/>
          <w:sz w:val="24"/>
          <w:szCs w:val="24"/>
        </w:rPr>
      </w:pPr>
      <w:r w:rsidRPr="00E71DCE">
        <w:rPr>
          <w:rFonts w:ascii="Times New Roman" w:hAnsi="Times New Roman" w:cs="Times New Roman"/>
          <w:b/>
          <w:sz w:val="24"/>
          <w:szCs w:val="24"/>
        </w:rPr>
        <w:t xml:space="preserve">Statistical Methods 2. Detectability, Prognostic, and Liquid Biopsy Scores. </w:t>
      </w:r>
      <w:r w:rsidRPr="00E71DCE">
        <w:rPr>
          <w:rFonts w:ascii="Times New Roman" w:hAnsi="Times New Roman" w:cs="Times New Roman"/>
          <w:sz w:val="24"/>
          <w:szCs w:val="24"/>
        </w:rPr>
        <w:t>For in silico liquid-biopsy prioritization each gene received: (</w:t>
      </w:r>
      <w:proofErr w:type="spellStart"/>
      <w:r w:rsidRPr="00E71DCE">
        <w:rPr>
          <w:rFonts w:ascii="Times New Roman" w:hAnsi="Times New Roman" w:cs="Times New Roman"/>
          <w:sz w:val="24"/>
          <w:szCs w:val="24"/>
        </w:rPr>
        <w:t>i</w:t>
      </w:r>
      <w:proofErr w:type="spellEnd"/>
      <w:r w:rsidRPr="00E71DCE">
        <w:rPr>
          <w:rFonts w:ascii="Times New Roman" w:hAnsi="Times New Roman" w:cs="Times New Roman"/>
          <w:sz w:val="24"/>
          <w:szCs w:val="24"/>
        </w:rPr>
        <w:t>) Detectability Score = mean β × 1</w:t>
      </w:r>
      <w:proofErr w:type="gramStart"/>
      <w:r w:rsidRPr="00E71DCE">
        <w:rPr>
          <w:rFonts w:ascii="Times New Roman" w:hAnsi="Times New Roman" w:cs="Times New Roman"/>
          <w:sz w:val="24"/>
          <w:szCs w:val="24"/>
        </w:rPr>
        <w:t>/(</w:t>
      </w:r>
      <w:proofErr w:type="gramEnd"/>
      <w:r w:rsidRPr="00E71DCE">
        <w:rPr>
          <w:rFonts w:ascii="Times New Roman" w:hAnsi="Times New Roman" w:cs="Times New Roman"/>
          <w:sz w:val="24"/>
          <w:szCs w:val="24"/>
        </w:rPr>
        <w:t xml:space="preserve">1 + CV), evaluated for genes with CV &lt; 1, where CV = σ/μ is the coefficient of variation of β-values across patients; the 1/(1 + CV) term up-weights reproducibly hyper-methylated loci, which are the most reliably detectable in low-input circulating </w:t>
      </w:r>
      <w:proofErr w:type="spellStart"/>
      <w:r w:rsidRPr="00E71DCE">
        <w:rPr>
          <w:rFonts w:ascii="Times New Roman" w:hAnsi="Times New Roman" w:cs="Times New Roman"/>
          <w:sz w:val="24"/>
          <w:szCs w:val="24"/>
        </w:rPr>
        <w:t>tumour</w:t>
      </w:r>
      <w:proofErr w:type="spellEnd"/>
      <w:r w:rsidRPr="00E71DCE">
        <w:rPr>
          <w:rFonts w:ascii="Times New Roman" w:hAnsi="Times New Roman" w:cs="Times New Roman"/>
          <w:sz w:val="24"/>
          <w:szCs w:val="24"/>
        </w:rPr>
        <w:t xml:space="preserve"> DNA assays (21,22). (ii) Prognostic Score = −log10(p), where p is the log-rank p-value for the overall-survival difference between high- and low-methylation groups (median split), and 0 if p ≥ 0.05. (iii) Liquid Biopsy Score = Detectability Score × (1 + Prognostic Score). The (1 + Prognostic Score) factor preserves the detectability ranking for genes lacking a prognostic signal while multiplicatively rewarding prognostically informative genes. The top 50 genes (score ≥ 0.9888) were retained as candidates. These analyses used </w:t>
      </w:r>
      <w:proofErr w:type="spellStart"/>
      <w:r w:rsidRPr="00E71DCE">
        <w:rPr>
          <w:rFonts w:ascii="Times New Roman" w:hAnsi="Times New Roman" w:cs="Times New Roman"/>
          <w:sz w:val="24"/>
          <w:szCs w:val="24"/>
        </w:rPr>
        <w:t>tumour</w:t>
      </w:r>
      <w:proofErr w:type="spellEnd"/>
      <w:r w:rsidRPr="00E71DCE">
        <w:rPr>
          <w:rFonts w:ascii="Times New Roman" w:hAnsi="Times New Roman" w:cs="Times New Roman"/>
          <w:sz w:val="24"/>
          <w:szCs w:val="24"/>
        </w:rPr>
        <w:t xml:space="preserve">-tissue methylation data only; no plasma or CSF samples were </w:t>
      </w:r>
      <w:proofErr w:type="spellStart"/>
      <w:r w:rsidRPr="00E71DCE">
        <w:rPr>
          <w:rFonts w:ascii="Times New Roman" w:hAnsi="Times New Roman" w:cs="Times New Roman"/>
          <w:sz w:val="24"/>
          <w:szCs w:val="24"/>
        </w:rPr>
        <w:t>analysed</w:t>
      </w:r>
      <w:proofErr w:type="spellEnd"/>
      <w:r w:rsidRPr="00E71DCE">
        <w:rPr>
          <w:rFonts w:ascii="Times New Roman" w:hAnsi="Times New Roman" w:cs="Times New Roman"/>
          <w:sz w:val="24"/>
          <w:szCs w:val="24"/>
        </w:rPr>
        <w:t>.</w:t>
      </w:r>
    </w:p>
    <w:p w:rsidR="00E71DCE" w:rsidRPr="00E71DCE" w:rsidRDefault="00E71DCE" w:rsidP="00E71DCE">
      <w:pPr>
        <w:jc w:val="both"/>
        <w:rPr>
          <w:rFonts w:ascii="Times New Roman" w:hAnsi="Times New Roman" w:cs="Times New Roman"/>
          <w:sz w:val="24"/>
          <w:szCs w:val="24"/>
        </w:rPr>
      </w:pPr>
      <w:r w:rsidRPr="00E71DCE">
        <w:rPr>
          <w:rFonts w:ascii="Times New Roman" w:hAnsi="Times New Roman" w:cs="Times New Roman"/>
          <w:b/>
          <w:sz w:val="24"/>
          <w:szCs w:val="24"/>
        </w:rPr>
        <w:t xml:space="preserve">Statistical Methods 3. Group comparisons. </w:t>
      </w:r>
      <w:r w:rsidRPr="00E71DCE">
        <w:rPr>
          <w:rFonts w:ascii="Times New Roman" w:hAnsi="Times New Roman" w:cs="Times New Roman"/>
          <w:sz w:val="24"/>
          <w:szCs w:val="24"/>
        </w:rPr>
        <w:t>Two-group comparisons used the Mann–Whitney U test (23); comparisons across three or more groups used the Kruskal–</w:t>
      </w:r>
      <w:proofErr w:type="gramStart"/>
      <w:r w:rsidRPr="00E71DCE">
        <w:rPr>
          <w:rFonts w:ascii="Times New Roman" w:hAnsi="Times New Roman" w:cs="Times New Roman"/>
          <w:sz w:val="24"/>
          <w:szCs w:val="24"/>
        </w:rPr>
        <w:t>Wallis</w:t>
      </w:r>
      <w:proofErr w:type="gramEnd"/>
      <w:r w:rsidRPr="00E71DCE">
        <w:rPr>
          <w:rFonts w:ascii="Times New Roman" w:hAnsi="Times New Roman" w:cs="Times New Roman"/>
          <w:sz w:val="24"/>
          <w:szCs w:val="24"/>
        </w:rPr>
        <w:t xml:space="preserve"> test (24). All tests were two-sided with α = 0.05 unless otherwise stated.</w:t>
      </w:r>
    </w:p>
    <w:p w:rsidR="00E71DCE" w:rsidRPr="00E71DCE" w:rsidRDefault="00E71DCE" w:rsidP="00E71DCE">
      <w:pPr>
        <w:jc w:val="both"/>
        <w:rPr>
          <w:rFonts w:ascii="Times New Roman" w:hAnsi="Times New Roman" w:cs="Times New Roman"/>
          <w:sz w:val="24"/>
          <w:szCs w:val="24"/>
        </w:rPr>
      </w:pPr>
      <w:r w:rsidRPr="00E71DCE">
        <w:rPr>
          <w:rFonts w:ascii="Times New Roman" w:hAnsi="Times New Roman" w:cs="Times New Roman"/>
          <w:b/>
          <w:sz w:val="24"/>
          <w:szCs w:val="24"/>
        </w:rPr>
        <w:lastRenderedPageBreak/>
        <w:t xml:space="preserve">Statistical Methods 4. Composite Biomarker Score. </w:t>
      </w:r>
      <w:r w:rsidRPr="00E71DCE">
        <w:rPr>
          <w:rFonts w:ascii="Times New Roman" w:hAnsi="Times New Roman" w:cs="Times New Roman"/>
          <w:sz w:val="24"/>
          <w:szCs w:val="24"/>
        </w:rPr>
        <w:t>Biomarker candidates (mean β &gt; 0.7; negative methylation–protein Spearman correlation, p &lt; 0.05) were prioritized using a weighted composite score: Biomarker Score = (−r × 0.4) + (mean β × 0.2) + (−log10 p × 0.2) + (|</w:t>
      </w:r>
      <w:proofErr w:type="spellStart"/>
      <w:r w:rsidRPr="00E71DCE">
        <w:rPr>
          <w:rFonts w:ascii="Times New Roman" w:hAnsi="Times New Roman" w:cs="Times New Roman"/>
          <w:sz w:val="24"/>
          <w:szCs w:val="24"/>
        </w:rPr>
        <w:t>Δprotein</w:t>
      </w:r>
      <w:proofErr w:type="spellEnd"/>
      <w:r w:rsidRPr="00E71DCE">
        <w:rPr>
          <w:rFonts w:ascii="Times New Roman" w:hAnsi="Times New Roman" w:cs="Times New Roman"/>
          <w:sz w:val="24"/>
          <w:szCs w:val="24"/>
        </w:rPr>
        <w:t xml:space="preserve">| × 0.2), where r is the methylation–protein Spearman correlation, mean β is the average methylation across patients, p is the correlation significance, and </w:t>
      </w:r>
      <w:proofErr w:type="spellStart"/>
      <w:r w:rsidRPr="00E71DCE">
        <w:rPr>
          <w:rFonts w:ascii="Times New Roman" w:hAnsi="Times New Roman" w:cs="Times New Roman"/>
          <w:sz w:val="24"/>
          <w:szCs w:val="24"/>
        </w:rPr>
        <w:t>Δprotein</w:t>
      </w:r>
      <w:proofErr w:type="spellEnd"/>
      <w:r w:rsidRPr="00E71DCE">
        <w:rPr>
          <w:rFonts w:ascii="Times New Roman" w:hAnsi="Times New Roman" w:cs="Times New Roman"/>
          <w:sz w:val="24"/>
          <w:szCs w:val="24"/>
        </w:rPr>
        <w:t xml:space="preserve"> is the difference in mean protein abundance between high- (β &gt; 0.7) and low-methylation (β ≤ 0.7) groups. Components were scaled to a common range before weighting. Weights were assigned a priori to emphasize the directional methylation–protein relationship (0.4), with methylation level, statistical significance, and effect size contributing equally (0.2 each). This weighted multi-criteria formulation follows established composite-ranking practice for biomarker prioritization, and the score was used for ranking only (not for statistical inference).</w:t>
      </w:r>
    </w:p>
    <w:p w:rsidR="00E71DCE" w:rsidRPr="00E71DCE" w:rsidRDefault="00E71DCE" w:rsidP="00E71DCE">
      <w:pPr>
        <w:jc w:val="both"/>
        <w:rPr>
          <w:rFonts w:ascii="Times New Roman" w:hAnsi="Times New Roman" w:cs="Times New Roman"/>
          <w:sz w:val="24"/>
          <w:szCs w:val="24"/>
        </w:rPr>
      </w:pPr>
      <w:r w:rsidRPr="00E71DCE">
        <w:rPr>
          <w:rFonts w:ascii="Times New Roman" w:hAnsi="Times New Roman" w:cs="Times New Roman"/>
          <w:b/>
          <w:sz w:val="24"/>
          <w:szCs w:val="24"/>
        </w:rPr>
        <w:t xml:space="preserve">Statistical Methods 5. Survival analysis. </w:t>
      </w:r>
      <w:r w:rsidRPr="00E71DCE">
        <w:rPr>
          <w:rFonts w:ascii="Times New Roman" w:hAnsi="Times New Roman" w:cs="Times New Roman"/>
          <w:sz w:val="24"/>
          <w:szCs w:val="24"/>
        </w:rPr>
        <w:t>Overall survival was estimated with the Kaplan–Meier method (27) and compared between methylation-defined groups using the two-sided log-rank test (28). Independent prognostic value was assessed with multivariable Cox proportional-hazards regression adjusted for age and sex (29). Survival analyses were implemented in the lifelines Python library (30).</w:t>
      </w:r>
    </w:p>
    <w:p w:rsidR="00E71DCE" w:rsidRPr="00E71DCE" w:rsidRDefault="00E71DCE" w:rsidP="00E71DCE">
      <w:pPr>
        <w:jc w:val="both"/>
        <w:rPr>
          <w:rFonts w:ascii="Times New Roman" w:hAnsi="Times New Roman" w:cs="Times New Roman"/>
          <w:sz w:val="24"/>
          <w:szCs w:val="24"/>
        </w:rPr>
      </w:pPr>
      <w:r w:rsidRPr="00E71DCE">
        <w:rPr>
          <w:rFonts w:ascii="Times New Roman" w:hAnsi="Times New Roman" w:cs="Times New Roman"/>
          <w:b/>
          <w:sz w:val="24"/>
          <w:szCs w:val="24"/>
        </w:rPr>
        <w:t>Statistical Methods 6. Cascade Index (</w:t>
      </w:r>
      <w:proofErr w:type="spellStart"/>
      <w:r w:rsidRPr="00E71DCE">
        <w:rPr>
          <w:rFonts w:ascii="Times New Roman" w:hAnsi="Times New Roman" w:cs="Times New Roman"/>
          <w:b/>
          <w:sz w:val="24"/>
          <w:szCs w:val="24"/>
        </w:rPr>
        <w:t>CI_gene</w:t>
      </w:r>
      <w:proofErr w:type="spellEnd"/>
      <w:r w:rsidRPr="00E71DCE">
        <w:rPr>
          <w:rFonts w:ascii="Times New Roman" w:hAnsi="Times New Roman" w:cs="Times New Roman"/>
          <w:b/>
          <w:sz w:val="24"/>
          <w:szCs w:val="24"/>
        </w:rPr>
        <w:t xml:space="preserve">). </w:t>
      </w:r>
      <w:r w:rsidRPr="00E71DCE">
        <w:rPr>
          <w:rFonts w:ascii="Times New Roman" w:hAnsi="Times New Roman" w:cs="Times New Roman"/>
          <w:sz w:val="24"/>
          <w:szCs w:val="24"/>
        </w:rPr>
        <w:t xml:space="preserve">For each gene the Cascade Index quantifies the coherence of signal propagation across the methylation → mRNA → protein axis and is defined as the product of three absolute Spearman coefficients: </w:t>
      </w:r>
      <w:proofErr w:type="spellStart"/>
      <w:r w:rsidRPr="00E71DCE">
        <w:rPr>
          <w:rFonts w:ascii="Times New Roman" w:hAnsi="Times New Roman" w:cs="Times New Roman"/>
          <w:sz w:val="24"/>
          <w:szCs w:val="24"/>
        </w:rPr>
        <w:t>CI_gene</w:t>
      </w:r>
      <w:proofErr w:type="spellEnd"/>
      <w:r w:rsidRPr="00E71DCE">
        <w:rPr>
          <w:rFonts w:ascii="Times New Roman" w:hAnsi="Times New Roman" w:cs="Times New Roman"/>
          <w:sz w:val="24"/>
          <w:szCs w:val="24"/>
        </w:rPr>
        <w:t xml:space="preserve"> = |</w:t>
      </w:r>
      <w:proofErr w:type="gramStart"/>
      <w:r w:rsidRPr="00E71DCE">
        <w:rPr>
          <w:rFonts w:ascii="Times New Roman" w:hAnsi="Times New Roman" w:cs="Times New Roman"/>
          <w:sz w:val="24"/>
          <w:szCs w:val="24"/>
        </w:rPr>
        <w:t>ρ(</w:t>
      </w:r>
      <w:proofErr w:type="gramEnd"/>
      <w:r w:rsidRPr="00E71DCE">
        <w:rPr>
          <w:rFonts w:ascii="Times New Roman" w:hAnsi="Times New Roman" w:cs="Times New Roman"/>
          <w:sz w:val="24"/>
          <w:szCs w:val="24"/>
        </w:rPr>
        <w:t xml:space="preserve">Meth, mRNA)| × |ρ(mRNA, </w:t>
      </w:r>
      <w:proofErr w:type="spellStart"/>
      <w:r w:rsidRPr="00E71DCE">
        <w:rPr>
          <w:rFonts w:ascii="Times New Roman" w:hAnsi="Times New Roman" w:cs="Times New Roman"/>
          <w:sz w:val="24"/>
          <w:szCs w:val="24"/>
        </w:rPr>
        <w:t>Prot</w:t>
      </w:r>
      <w:proofErr w:type="spellEnd"/>
      <w:r w:rsidRPr="00E71DCE">
        <w:rPr>
          <w:rFonts w:ascii="Times New Roman" w:hAnsi="Times New Roman" w:cs="Times New Roman"/>
          <w:sz w:val="24"/>
          <w:szCs w:val="24"/>
        </w:rPr>
        <w:t xml:space="preserve">)| × |ρ(Meth, </w:t>
      </w:r>
      <w:proofErr w:type="spellStart"/>
      <w:r w:rsidRPr="00E71DCE">
        <w:rPr>
          <w:rFonts w:ascii="Times New Roman" w:hAnsi="Times New Roman" w:cs="Times New Roman"/>
          <w:sz w:val="24"/>
          <w:szCs w:val="24"/>
        </w:rPr>
        <w:t>Prot</w:t>
      </w:r>
      <w:proofErr w:type="spellEnd"/>
      <w:r w:rsidRPr="00E71DCE">
        <w:rPr>
          <w:rFonts w:ascii="Times New Roman" w:hAnsi="Times New Roman" w:cs="Times New Roman"/>
          <w:sz w:val="24"/>
          <w:szCs w:val="24"/>
        </w:rPr>
        <w:t xml:space="preserve">)|, where Meth, mRNA, and </w:t>
      </w:r>
      <w:proofErr w:type="spellStart"/>
      <w:r w:rsidRPr="00E71DCE">
        <w:rPr>
          <w:rFonts w:ascii="Times New Roman" w:hAnsi="Times New Roman" w:cs="Times New Roman"/>
          <w:sz w:val="24"/>
          <w:szCs w:val="24"/>
        </w:rPr>
        <w:t>Prot</w:t>
      </w:r>
      <w:proofErr w:type="spellEnd"/>
      <w:r w:rsidRPr="00E71DCE">
        <w:rPr>
          <w:rFonts w:ascii="Times New Roman" w:hAnsi="Times New Roman" w:cs="Times New Roman"/>
          <w:sz w:val="24"/>
          <w:szCs w:val="24"/>
        </w:rPr>
        <w:t xml:space="preserve"> denote per-gene DNA methylation β-values, transcript abundance, and protein abundance across patients. The multiplicative form was chosen so that </w:t>
      </w:r>
      <w:proofErr w:type="spellStart"/>
      <w:r w:rsidRPr="00E71DCE">
        <w:rPr>
          <w:rFonts w:ascii="Times New Roman" w:hAnsi="Times New Roman" w:cs="Times New Roman"/>
          <w:sz w:val="24"/>
          <w:szCs w:val="24"/>
        </w:rPr>
        <w:t>CI_gene</w:t>
      </w:r>
      <w:proofErr w:type="spellEnd"/>
      <w:r w:rsidRPr="00E71DCE">
        <w:rPr>
          <w:rFonts w:ascii="Times New Roman" w:hAnsi="Times New Roman" w:cs="Times New Roman"/>
          <w:sz w:val="24"/>
          <w:szCs w:val="24"/>
        </w:rPr>
        <w:t xml:space="preserve"> approaches 1 only when all three layers are strongly correlated and collapses toward 0 if any single layer is uncoupled, thereby isolating fully propagated ‘high-confidence </w:t>
      </w:r>
      <w:proofErr w:type="gramStart"/>
      <w:r w:rsidRPr="00E71DCE">
        <w:rPr>
          <w:rFonts w:ascii="Times New Roman" w:hAnsi="Times New Roman" w:cs="Times New Roman"/>
          <w:sz w:val="24"/>
          <w:szCs w:val="24"/>
        </w:rPr>
        <w:t>cascades’</w:t>
      </w:r>
      <w:proofErr w:type="gramEnd"/>
      <w:r w:rsidRPr="00E71DCE">
        <w:rPr>
          <w:rFonts w:ascii="Times New Roman" w:hAnsi="Times New Roman" w:cs="Times New Roman"/>
          <w:sz w:val="24"/>
          <w:szCs w:val="24"/>
        </w:rPr>
        <w:t xml:space="preserve">. </w:t>
      </w:r>
      <w:proofErr w:type="spellStart"/>
      <w:r w:rsidRPr="00E71DCE">
        <w:rPr>
          <w:rFonts w:ascii="Times New Roman" w:hAnsi="Times New Roman" w:cs="Times New Roman"/>
          <w:sz w:val="24"/>
          <w:szCs w:val="24"/>
        </w:rPr>
        <w:t>CI_gene</w:t>
      </w:r>
      <w:proofErr w:type="spellEnd"/>
      <w:r w:rsidRPr="00E71DCE">
        <w:rPr>
          <w:rFonts w:ascii="Times New Roman" w:hAnsi="Times New Roman" w:cs="Times New Roman"/>
          <w:sz w:val="24"/>
          <w:szCs w:val="24"/>
        </w:rPr>
        <w:t xml:space="preserve"> was reported only for genes passing all three correlation thresholds (FDR &lt; 0.05). The index ranges from 0 to 1.</w:t>
      </w:r>
    </w:p>
    <w:p w:rsidR="00356872" w:rsidRPr="00E71DCE" w:rsidRDefault="00356872" w:rsidP="00E71DCE">
      <w:pPr>
        <w:jc w:val="both"/>
        <w:rPr>
          <w:rFonts w:ascii="Times New Roman" w:hAnsi="Times New Roman" w:cs="Times New Roman"/>
          <w:sz w:val="24"/>
          <w:szCs w:val="24"/>
        </w:rPr>
      </w:pPr>
    </w:p>
    <w:sectPr w:rsidR="00356872" w:rsidRPr="00E71DC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EE"/>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41544924">
    <w:abstractNumId w:val="8"/>
  </w:num>
  <w:num w:numId="2" w16cid:durableId="40979514">
    <w:abstractNumId w:val="6"/>
  </w:num>
  <w:num w:numId="3" w16cid:durableId="1082679025">
    <w:abstractNumId w:val="5"/>
  </w:num>
  <w:num w:numId="4" w16cid:durableId="1206136142">
    <w:abstractNumId w:val="4"/>
  </w:num>
  <w:num w:numId="5" w16cid:durableId="2041735955">
    <w:abstractNumId w:val="7"/>
  </w:num>
  <w:num w:numId="6" w16cid:durableId="1561401339">
    <w:abstractNumId w:val="3"/>
  </w:num>
  <w:num w:numId="7" w16cid:durableId="1297099727">
    <w:abstractNumId w:val="2"/>
  </w:num>
  <w:num w:numId="8" w16cid:durableId="544954765">
    <w:abstractNumId w:val="1"/>
  </w:num>
  <w:num w:numId="9" w16cid:durableId="1966570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6872"/>
    <w:rsid w:val="00AA1D8D"/>
    <w:rsid w:val="00B47730"/>
    <w:rsid w:val="00CB0664"/>
    <w:rsid w:val="00E71D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EBD0A5"/>
  <w14:defaultImageDpi w14:val="300"/>
  <w15:docId w15:val="{06F8FE20-809C-DD4C-95DB-DCE7AE669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672</Words>
  <Characters>4240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Senol</cp:lastModifiedBy>
  <cp:revision>2</cp:revision>
  <dcterms:created xsi:type="dcterms:W3CDTF">2013-12-23T23:15:00Z</dcterms:created>
  <dcterms:modified xsi:type="dcterms:W3CDTF">2026-06-30T10:04:00Z</dcterms:modified>
  <cp:category/>
</cp:coreProperties>
</file>