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Dear Editor-in-Chief,</w:t>
      </w:r>
    </w:p>
    <w:p>
      <w:r>
        <w:rPr>
          <w:rFonts w:ascii="Times New Roman" w:hAnsi="Times New Roman"/>
          <w:sz w:val="24"/>
        </w:rPr>
        <w:t>Please consider the enclosed manuscript for publication as an Original Communication in the Journal of Neurology.</w:t>
      </w:r>
    </w:p>
    <w:p>
      <w:r>
        <w:rPr>
          <w:rFonts w:ascii="Times New Roman" w:hAnsi="Times New Roman"/>
          <w:b/>
          <w:sz w:val="24"/>
        </w:rPr>
        <w:t>Title: Progression from myeloneuropathy to cerebral disease in men with X-linked adrenoleukodystrophy studied using a Human Phenotype Ontology-based approach</w:t>
      </w:r>
    </w:p>
    <w:p>
      <w:r>
        <w:rPr>
          <w:rFonts w:ascii="Times New Roman" w:hAnsi="Times New Roman"/>
          <w:sz w:val="24"/>
        </w:rPr>
        <w:t>The manuscript has not been published elsewhere and is not under consideration by another journal. All authors have read and approved the final version and agree with its submission.</w:t>
      </w:r>
    </w:p>
    <w:p>
      <w:r>
        <w:rPr>
          <w:rFonts w:ascii="Times New Roman" w:hAnsi="Times New Roman"/>
          <w:sz w:val="24"/>
        </w:rPr>
        <w:t>Men with X-linked adrenoleukodystrophy (X-ALD) may remain on a myeloneuropathic trajectory for years before inflammatory cerebral adrenoleukodystrophy (cerebral ALD) is recognised. In clinical practice, estimates of when and how often this transition occurs remain inconsistent, which complicates counselling and the design of surveillance and natural history studies. We address this question using longitudinal data from the Leipzig leukodystrophy registry (REDCap), a setting in which neurologists record disease manifestation and Human Phenotype Ontology (HPO)-coded examination findings at repeated visits.</w:t>
      </w:r>
    </w:p>
    <w:p>
      <w:r>
        <w:rPr>
          <w:rFonts w:ascii="Times New Roman" w:hAnsi="Times New Roman"/>
          <w:sz w:val="24"/>
        </w:rPr>
        <w:t>In a retrospective cohort of 146 men with a myelopathic onset, 65 had cerebral ALD at the first dated visit. Among 67 men without cerebral ALD at entry and with follow-up (median 86 months; 20 conversion events), the cumulative incidence of a first physician-recorded cerebral ALD event was 6.5% at 3 years, 10.2% at 5 years, and 24.3% (95% CI 13.8 to 40.7) at 10 years. Baseline clinical and HPO-coded features did not identify converters after adjustment for multiple testing. We relate these estimates to earlier cohorts and emphasise that the analyses are exploratory; magnetic resonance imaging surveillance remains the standard for detecting cerebral disease.</w:t>
      </w:r>
    </w:p>
    <w:p>
      <w:r>
        <w:rPr>
          <w:rFonts w:ascii="Times New Roman" w:hAnsi="Times New Roman"/>
          <w:sz w:val="24"/>
        </w:rPr>
        <w:t>A central element of the paper is an original HPO Symptom Grouping Dataset (Online Resource 1), developed by the clinical authors for this study. It maps 135 registry examination items to 133 distinct HPO terms in myelopathic and cerebral subgroups with neuroanatomical localisation. To our knowledge, standardised HPO-coded phenotypes have not previously been used to study progression from myeloneuropathy to cerebral disease in leukodystrophy. The dataset and submission materials are available at https://github.com/ul-mds/Progression-of-Leukodistrophy.</w:t>
      </w:r>
    </w:p>
    <w:p>
      <w:r>
        <w:rPr>
          <w:rFonts w:ascii="Times New Roman" w:hAnsi="Times New Roman"/>
          <w:sz w:val="24"/>
        </w:rPr>
        <w:t>The clinical mapping reflects phenotyping practice at our centre. Professor Wolfgang Köhler, who co-developed the dataset, has long-standing expertise in the diagnosis and longitudinal care of leukodystrophy, including early clinical characterisation of these disorders in adult neurology. The study is reported according to the STROBE and RECORD statements; funding, competing interests, data availability, and the distinction between this analysis and an earlier exploratory registry exercise are documented in the manuscript.</w:t>
      </w:r>
    </w:p>
    <w:p>
      <w:r>
        <w:rPr>
          <w:rFonts w:ascii="Times New Roman" w:hAnsi="Times New Roman"/>
          <w:sz w:val="24"/>
        </w:rPr>
        <w:t>We respectfully suggest that the work will be of interest to clinicians and researchers concerned with X-ALD, leukodystrophy registries, and interoperable clinical phenotype data. We would be grateful if you could arrange peer review. Institutional e-mail addresses for suggested reviewers can be provided on request.</w:t>
      </w:r>
    </w:p>
    <w:p>
      <w:r>
        <w:rPr>
          <w:rFonts w:ascii="Times New Roman" w:hAnsi="Times New Roman"/>
          <w:sz w:val="24"/>
        </w:rPr>
        <w:t>Thank you for your consideration.</w:t>
      </w:r>
    </w:p>
    <w:p>
      <w:r>
        <w:rPr>
          <w:rFonts w:ascii="Times New Roman" w:hAnsi="Times New Roman"/>
          <w:sz w:val="24"/>
        </w:rPr>
        <w:t>Yours sincerely,</w:t>
      </w:r>
    </w:p>
    <w:p>
      <w:r>
        <w:rPr>
          <w:rFonts w:ascii="Times New Roman" w:hAnsi="Times New Roman"/>
          <w:b/>
          <w:sz w:val="24"/>
        </w:rPr>
        <w:t>Senol Dogan, PhD</w:t>
      </w:r>
    </w:p>
    <w:p>
      <w:r>
        <w:rPr>
          <w:rFonts w:ascii="Times New Roman" w:hAnsi="Times New Roman"/>
          <w:sz w:val="24"/>
        </w:rPr>
        <w:t>Corresponding author</w:t>
      </w:r>
    </w:p>
    <w:p>
      <w:r>
        <w:rPr>
          <w:rFonts w:ascii="Times New Roman" w:hAnsi="Times New Roman"/>
          <w:sz w:val="24"/>
        </w:rPr>
        <w:t>Institute for Medical Informatics, Statistics and Epidemiology</w:t>
      </w:r>
    </w:p>
    <w:p>
      <w:r>
        <w:rPr>
          <w:rFonts w:ascii="Times New Roman" w:hAnsi="Times New Roman"/>
          <w:sz w:val="24"/>
        </w:rPr>
        <w:t>Medical Faculty, Leipzig University</w:t>
      </w:r>
    </w:p>
    <w:p>
      <w:r>
        <w:rPr>
          <w:rFonts w:ascii="Times New Roman" w:hAnsi="Times New Roman"/>
          <w:sz w:val="24"/>
        </w:rPr>
        <w:t>Härtelstr. 16–18, 04107 Leipzig, Germany</w:t>
      </w:r>
    </w:p>
    <w:p>
      <w:r>
        <w:rPr>
          <w:rFonts w:ascii="Times New Roman" w:hAnsi="Times New Roman"/>
          <w:sz w:val="24"/>
        </w:rPr>
        <w:t>Senol.Dogan@medizin.uni-leipzig.de</w:t>
      </w:r>
    </w:p>
    <w:p>
      <w:r>
        <w:rPr>
          <w:rFonts w:ascii="Times New Roman" w:hAnsi="Times New Roman"/>
          <w:sz w:val="24"/>
        </w:rPr>
        <w:t>ORCID: 0000-0001-7358-4850</w:t>
      </w:r>
    </w:p>
    <w:p>
      <w:r>
        <w:rPr>
          <w:rFonts w:ascii="Times New Roman" w:hAnsi="Times New Roman"/>
          <w:sz w:val="24"/>
        </w:rPr>
        <w:t>On behalf of all co-authors:</w:t>
      </w:r>
    </w:p>
    <w:p>
      <w:r>
        <w:rPr>
          <w:rFonts w:ascii="Times New Roman" w:hAnsi="Times New Roman"/>
          <w:sz w:val="24"/>
        </w:rPr>
        <w:t>Wolfgang Köhler, Caroline Bergner, Julia Lier, Sina Sadeghi, Toralf Kirsten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