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Times New Roman" w:hAnsi="Times New Roman"/>
          <w:sz w:val="24"/>
        </w:rPr>
        <w:t>Dear Editor-in-Chief,</w:t>
      </w:r>
    </w:p>
    <w:p/>
    <w:p>
      <w:r>
        <w:rPr>
          <w:rFonts w:ascii="Times New Roman" w:hAnsi="Times New Roman"/>
          <w:sz w:val="24"/>
        </w:rPr>
        <w:t>We submit for your consideration an Original Communication entitled:</w:t>
      </w:r>
    </w:p>
    <w:p/>
    <w:p>
      <w:r>
        <w:rPr>
          <w:rFonts w:ascii="Times New Roman" w:hAnsi="Times New Roman"/>
          <w:i/>
          <w:sz w:val="24"/>
        </w:rPr>
        <w:t>“Progression from myeloneuropathy to cerebral disease in men with X-linked adrenoleukodystrophy studied using a Human Phenotype Ontology-based approach.”</w:t>
      </w:r>
    </w:p>
    <w:p/>
    <w:p>
      <w:r>
        <w:rPr>
          <w:rFonts w:ascii="Times New Roman" w:hAnsi="Times New Roman"/>
          <w:sz w:val="24"/>
        </w:rPr>
        <w:t>All authors have approved the manuscript and agree with its submission to the Journal of Neurology. The work has not been published previously and is not under consideration elsewhere.</w:t>
      </w:r>
    </w:p>
    <w:p/>
    <w:p>
      <w:r>
        <w:rPr>
          <w:rFonts w:ascii="Times New Roman" w:hAnsi="Times New Roman"/>
          <w:b/>
          <w:sz w:val="24"/>
        </w:rPr>
        <w:t>Clinical problem and relevance for your readership</w:t>
      </w:r>
    </w:p>
    <w:p>
      <w:r>
        <w:rPr>
          <w:rFonts w:ascii="Times New Roman" w:hAnsi="Times New Roman"/>
          <w:sz w:val="24"/>
        </w:rPr>
        <w:t>In men with X-linked adrenoleukodystrophy (X-ALD), inflammatory cerebral disease can follow a myeloneuropathic presentation, yet the risk and timing of this transition remain uncertain in routine care. Counselling, surveillance, and trial design therefore depend on natural history estimates that are still sparse and difficult to compare across centres. The Journal of Neurology is an appropriate forum because the question is directly relevant to clinical neurology, prognostication, and the longitudinal assessment of rare white matter disorders.</w:t>
      </w:r>
    </w:p>
    <w:p/>
    <w:p>
      <w:r>
        <w:rPr>
          <w:rFonts w:ascii="Times New Roman" w:hAnsi="Times New Roman"/>
          <w:b/>
          <w:sz w:val="24"/>
        </w:rPr>
        <w:t>What this paper adds</w:t>
      </w:r>
    </w:p>
    <w:p>
      <w:r>
        <w:rPr>
          <w:rFonts w:ascii="Times New Roman" w:hAnsi="Times New Roman"/>
          <w:sz w:val="24"/>
        </w:rPr>
        <w:t>Using the Leipzig leukodystrophy registry, we estimated the cumulative incidence of a first physician-recorded cerebral adrenoleukodystrophy (cerebral ALD) event in men who presented with myelopathic disease and had no cerebral ALD at their first dated visit. Among 67 men at risk (median follow-up 86 months; 20 events), cumulative incidence was 6.5% at 3 years, 10.2% at 5 years, and 24.3% (95% CI 13.8 to 40.7) at 10 years. We describe baseline and HPO-coded findings in the full cohort and discuss how these results relate to earlier cohorts. We state clearly that the analyses are exploratory and hypothesis-generating and that magnetic resonance imaging surveillance remains essential.</w:t>
      </w:r>
    </w:p>
    <w:p/>
    <w:p>
      <w:r>
        <w:rPr>
          <w:rFonts w:ascii="Times New Roman" w:hAnsi="Times New Roman"/>
          <w:b/>
          <w:sz w:val="24"/>
        </w:rPr>
        <w:t>Original HPO Symptom Grouping Dataset</w:t>
      </w:r>
    </w:p>
    <w:p>
      <w:r>
        <w:rPr>
          <w:rFonts w:ascii="Times New Roman" w:hAnsi="Times New Roman"/>
          <w:sz w:val="24"/>
        </w:rPr>
        <w:t>The principal methodological contribution is a new, study-specific HPO Symptom Grouping Dataset (Online Resource 1), developed by the clinical authors to map registry examination items to 133 distinct HPO terms grouped into myelopathic and cerebral subgroups with neuroanatomical localisation. To our knowledge, no prior study has used standardised HPO-coded phenotypes to analyse progression from myeloneuropathy to cerebral disease in leukodystrophy. This dataset is original to the present work and is intended to support reproducible, multicentre natural history research; it is also available with the submission materials at https://github.com/ul-mds/Progression-of-Leukodistrophy.</w:t>
      </w:r>
    </w:p>
    <w:p/>
    <w:p>
      <w:r>
        <w:rPr>
          <w:rFonts w:ascii="Times New Roman" w:hAnsi="Times New Roman"/>
          <w:b/>
          <w:sz w:val="24"/>
        </w:rPr>
        <w:t>Clinical authorship and expertise</w:t>
      </w:r>
    </w:p>
    <w:p>
      <w:r>
        <w:rPr>
          <w:rFonts w:ascii="Times New Roman" w:hAnsi="Times New Roman"/>
          <w:sz w:val="24"/>
        </w:rPr>
        <w:t>The grouping reflects long-standing clinical phenotyping practice at our centre. Professor Wolfgang Köhler, who co-developed the dataset and supervised its clinical content, has dedicated his career to the diagnosis and longitudinal care of leukodystrophy and was among the physicians involved in the early clinical recognition of these disorders in adult neurology. His contribution ensures that the ontology mapping remains anchored in bedside examination and registry practice rather than in automated coding alone.</w:t>
      </w:r>
    </w:p>
    <w:p/>
    <w:p>
      <w:r>
        <w:rPr>
          <w:rFonts w:ascii="Times New Roman" w:hAnsi="Times New Roman"/>
          <w:b/>
          <w:sz w:val="24"/>
        </w:rPr>
        <w:t>Reporting and transparency</w:t>
      </w:r>
    </w:p>
    <w:p>
      <w:r>
        <w:rPr>
          <w:rFonts w:ascii="Times New Roman" w:hAnsi="Times New Roman"/>
          <w:sz w:val="24"/>
        </w:rPr>
        <w:t>We report the study according to the STROBE and RECORD statements. Registry governance, data availability, and the separation of this analysis from an earlier exploratory modelling exercise on the same registry are described in the manuscript. Competing interests and funding are declared in full.</w:t>
      </w:r>
    </w:p>
    <w:p/>
    <w:p>
      <w:r>
        <w:rPr>
          <w:rFonts w:ascii="Times New Roman" w:hAnsi="Times New Roman"/>
          <w:sz w:val="24"/>
        </w:rPr>
        <w:t>We believe the manuscript will interest clinicians who manage X-ALD and related leukodystrophies, as well as investigators building registry-based natural history and interoperable phenotype data. We would be grateful for your consideration.</w:t>
      </w:r>
    </w:p>
    <w:p/>
    <w:p>
      <w:r>
        <w:rPr>
          <w:rFonts w:ascii="Times New Roman" w:hAnsi="Times New Roman"/>
          <w:b/>
          <w:sz w:val="24"/>
        </w:rPr>
        <w:t>Suggested reviewers (optional; institutional e-mail addresses available on request):</w:t>
      </w:r>
    </w:p>
    <w:p>
      <w:r>
        <w:rPr>
          <w:rFonts w:ascii="Times New Roman" w:hAnsi="Times New Roman"/>
          <w:sz w:val="24"/>
        </w:rPr>
        <w:t>Independent experts in X-ALD natural history, leukodystrophy registries, and HPO-based clinical data standards would be suitable.</w:t>
      </w:r>
    </w:p>
    <w:p/>
    <w:p>
      <w:r>
        <w:rPr>
          <w:rFonts w:ascii="Times New Roman" w:hAnsi="Times New Roman"/>
          <w:sz w:val="24"/>
        </w:rPr>
        <w:t>Thank you for your time.</w:t>
      </w:r>
    </w:p>
    <w:p/>
    <w:p>
      <w:r>
        <w:rPr>
          <w:rFonts w:ascii="Times New Roman" w:hAnsi="Times New Roman"/>
          <w:sz w:val="24"/>
        </w:rPr>
        <w:t>Sincerely,</w:t>
      </w:r>
    </w:p>
    <w:p/>
    <w:p>
      <w:r>
        <w:rPr>
          <w:rFonts w:ascii="Times New Roman" w:hAnsi="Times New Roman"/>
          <w:sz w:val="24"/>
        </w:rPr>
        <w:t>Senol Dogan, PhD</w:t>
      </w:r>
    </w:p>
    <w:p>
      <w:r>
        <w:rPr>
          <w:rFonts w:ascii="Times New Roman" w:hAnsi="Times New Roman"/>
          <w:sz w:val="24"/>
        </w:rPr>
        <w:t>Corresponding author</w:t>
      </w:r>
    </w:p>
    <w:p>
      <w:r>
        <w:rPr>
          <w:rFonts w:ascii="Times New Roman" w:hAnsi="Times New Roman"/>
          <w:sz w:val="24"/>
        </w:rPr>
        <w:t>Institute for Medical Informatics, Statistics and Epidemiology</w:t>
      </w:r>
    </w:p>
    <w:p>
      <w:r>
        <w:rPr>
          <w:rFonts w:ascii="Times New Roman" w:hAnsi="Times New Roman"/>
          <w:sz w:val="24"/>
        </w:rPr>
        <w:t>Medical Faculty, Leipzig University</w:t>
      </w:r>
    </w:p>
    <w:p>
      <w:r>
        <w:rPr>
          <w:rFonts w:ascii="Times New Roman" w:hAnsi="Times New Roman"/>
          <w:sz w:val="24"/>
        </w:rPr>
        <w:t>Härtelstr. 16–18, 04107 Leipzig, Germany</w:t>
      </w:r>
    </w:p>
    <w:p>
      <w:r>
        <w:rPr>
          <w:rFonts w:ascii="Times New Roman" w:hAnsi="Times New Roman"/>
          <w:sz w:val="24"/>
        </w:rPr>
        <w:t>Senol.Dogan@medizin.uni-leipzig.de</w:t>
      </w:r>
    </w:p>
    <w:p>
      <w:r>
        <w:rPr>
          <w:rFonts w:ascii="Times New Roman" w:hAnsi="Times New Roman"/>
          <w:sz w:val="24"/>
        </w:rPr>
        <w:t>ORCID: 0000-0001-7358-4850</w:t>
      </w:r>
    </w:p>
    <w:p/>
    <w:p>
      <w:r>
        <w:rPr>
          <w:rFonts w:ascii="Times New Roman" w:hAnsi="Times New Roman"/>
          <w:sz w:val="24"/>
        </w:rPr>
        <w:t>On behalf of all co-authors:</w:t>
      </w:r>
    </w:p>
    <w:p>
      <w:r>
        <w:rPr>
          <w:rFonts w:ascii="Times New Roman" w:hAnsi="Times New Roman"/>
          <w:sz w:val="24"/>
        </w:rPr>
        <w:t>Wolfgang Köhler, Caroline Bergner, Julia Lier, Sina Sadeghi, Toralf Kirsten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