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sz w:val="32"/>
          <w:szCs w:val="32"/>
        </w:rPr>
      </w:pPr>
      <w:bookmarkStart w:colFirst="0" w:colLast="0" w:name="_ksl37otkpfe6" w:id="0"/>
      <w:bookmarkEnd w:id="0"/>
      <w:r w:rsidDel="00000000" w:rsidR="00000000" w:rsidRPr="00000000">
        <w:rPr>
          <w:rFonts w:ascii="Times New Roman" w:cs="Times New Roman" w:eastAsia="Times New Roman" w:hAnsi="Times New Roman"/>
          <w:b w:val="1"/>
          <w:bCs w:val="1"/>
          <w:sz w:val="32"/>
          <w:szCs w:val="32"/>
          <w:rtl w:val="0"/>
        </w:rPr>
        <w:t xml:space="preserve">LLM-powered smart contract auditor.</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Adil, Ulan Mustafin</w:t>
      </w:r>
    </w:p>
    <w:p w:rsidR="00000000" w:rsidDel="00000000" w:rsidP="00000000" w:rsidRDefault="00000000" w:rsidRPr="00000000" w14:paraId="00000003">
      <w:pPr>
        <w:pStyle w:val="Heading1"/>
        <w:jc w:val="center"/>
        <w:rPr>
          <w:rFonts w:ascii="Times New Roman" w:cs="Times New Roman" w:eastAsia="Times New Roman" w:hAnsi="Times New Roman"/>
          <w:b w:val="1"/>
          <w:bCs w:val="1"/>
          <w:sz w:val="28"/>
          <w:szCs w:val="28"/>
        </w:rPr>
      </w:pPr>
      <w:bookmarkStart w:colFirst="0" w:colLast="0" w:name="_oibm42w0gjv9" w:id="1"/>
      <w:bookmarkEnd w:id="1"/>
      <w:commentRangeStart w:id="0"/>
      <w:commentRangeStart w:id="1"/>
      <w:r w:rsidDel="00000000" w:rsidR="00000000" w:rsidRPr="00000000">
        <w:rPr>
          <w:rFonts w:ascii="Times New Roman" w:cs="Times New Roman" w:eastAsia="Times New Roman" w:hAnsi="Times New Roman"/>
          <w:b w:val="1"/>
          <w:bCs w:val="1"/>
          <w:sz w:val="28"/>
          <w:szCs w:val="28"/>
          <w:rtl w:val="0"/>
        </w:rPr>
        <w:t xml:space="preserve">Annotated Bibliography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 Chen, J. Su, J. Chen et al., “When ChatGPT meets smart contract vulnerability detection: How far are we?,” ACM Trans. Softw. Eng. Methodol., vol. 34, no. 4, pp. 1–30, 2025, doi: 10.1145/3702973. [Online]. Available: </w:t>
      </w:r>
      <w:hyperlink r:id="rId7">
        <w:r w:rsidDel="00000000" w:rsidR="00000000" w:rsidRPr="00000000">
          <w:rPr>
            <w:rFonts w:ascii="Times New Roman" w:cs="Times New Roman" w:eastAsia="Times New Roman" w:hAnsi="Times New Roman"/>
            <w:color w:val="1155cc"/>
            <w:sz w:val="24"/>
            <w:szCs w:val="24"/>
            <w:u w:val="single"/>
            <w:rtl w:val="0"/>
          </w:rPr>
          <w:t xml:space="preserve">https://arxiv.org/abs/2309.05520</w:t>
        </w:r>
      </w:hyperlink>
      <w:r w:rsidDel="00000000" w:rsidR="00000000" w:rsidRPr="00000000">
        <w:rPr>
          <w:rFonts w:ascii="Times New Roman" w:cs="Times New Roman" w:eastAsia="Times New Roman" w:hAnsi="Times New Roman"/>
          <w:sz w:val="24"/>
          <w:szCs w:val="24"/>
          <w:rtl w:val="0"/>
        </w:rPr>
        <w:br w:type="textWrapping"/>
        <w:t xml:space="preserve">[2]</w:t>
        <w:tab/>
        <w:t xml:space="preserve">S. Hu, T. Huang, F. İlhan, S. F. Tekin and L. Liu, “Large language model-powered smart contract vulnerability detection: New perspectives,” in Proc. 5th IEEE Int. Conf. Trust, Privacy and Security in Intelligent Systems and Applications (TPS-ISA), 2023, pp. 297–306, doi: 10.1109/TPS-ISA58951.2023.00044. [Online]. Available: </w:t>
      </w:r>
      <w:hyperlink r:id="rId8">
        <w:r w:rsidDel="00000000" w:rsidR="00000000" w:rsidRPr="00000000">
          <w:rPr>
            <w:rFonts w:ascii="Times New Roman" w:cs="Times New Roman" w:eastAsia="Times New Roman" w:hAnsi="Times New Roman"/>
            <w:color w:val="1155cc"/>
            <w:sz w:val="24"/>
            <w:szCs w:val="24"/>
            <w:u w:val="single"/>
            <w:rtl w:val="0"/>
          </w:rPr>
          <w:t xml:space="preserve">https://arxiv.org/abs/2310.01152</w:t>
        </w:r>
      </w:hyperlink>
      <w:r w:rsidDel="00000000" w:rsidR="00000000" w:rsidRPr="00000000">
        <w:rPr>
          <w:rFonts w:ascii="Times New Roman" w:cs="Times New Roman" w:eastAsia="Times New Roman" w:hAnsi="Times New Roman"/>
          <w:sz w:val="24"/>
          <w:szCs w:val="24"/>
          <w:rtl w:val="0"/>
        </w:rPr>
        <w:br w:type="textWrapping"/>
        <w:t xml:space="preserve">[3]</w:t>
        <w:tab/>
        <w:t xml:space="preserve">Y. Sun, D. Wu, Y. Xue et al., “GPTScan: Detecting logic vulnerabilities in smart contracts by combining GPT with program analysis,” in Proc. IEEE/ACM 46th Int. Conf. Software Engineering (ICSE), 2024, pp. 1–13, doi: 10.1145/3597503.3639117. [Online]. Available: </w:t>
      </w:r>
      <w:hyperlink r:id="rId9">
        <w:r w:rsidDel="00000000" w:rsidR="00000000" w:rsidRPr="00000000">
          <w:rPr>
            <w:rFonts w:ascii="Times New Roman" w:cs="Times New Roman" w:eastAsia="Times New Roman" w:hAnsi="Times New Roman"/>
            <w:color w:val="1155cc"/>
            <w:sz w:val="24"/>
            <w:szCs w:val="24"/>
            <w:u w:val="single"/>
            <w:rtl w:val="0"/>
          </w:rPr>
          <w:t xml:space="preserve">https://arxiv.org/abs/2308.03314</w:t>
        </w:r>
      </w:hyperlink>
      <w:r w:rsidDel="00000000" w:rsidR="00000000" w:rsidRPr="00000000">
        <w:rPr>
          <w:rFonts w:ascii="Times New Roman" w:cs="Times New Roman" w:eastAsia="Times New Roman" w:hAnsi="Times New Roman"/>
          <w:sz w:val="24"/>
          <w:szCs w:val="24"/>
          <w:rtl w:val="0"/>
        </w:rPr>
        <w:br w:type="textWrapping"/>
        <w:t xml:space="preserve">[4]</w:t>
        <w:tab/>
        <w:t xml:space="preserve">W. Ma, D. Wu, Y. Sun et al., “Combining fine-tuning and LLM-based agents for intuitive smart contract auditing with justifications,” in Proc. IEEE/ACM 47th Int. Conf. Software Engineering (ICSE), 2025, pp. 1742–1754, doi: 10.1109/ICSE55347.2025.00027. [Online]. Available: </w:t>
      </w:r>
      <w:hyperlink r:id="rId10">
        <w:r w:rsidDel="00000000" w:rsidR="00000000" w:rsidRPr="00000000">
          <w:rPr>
            <w:rFonts w:ascii="Times New Roman" w:cs="Times New Roman" w:eastAsia="Times New Roman" w:hAnsi="Times New Roman"/>
            <w:color w:val="1155cc"/>
            <w:sz w:val="24"/>
            <w:szCs w:val="24"/>
            <w:u w:val="single"/>
            <w:rtl w:val="0"/>
          </w:rPr>
          <w:t xml:space="preserve">https://arxiv.org/abs/2403.16073</w:t>
        </w:r>
      </w:hyperlink>
      <w:r w:rsidDel="00000000" w:rsidR="00000000" w:rsidRPr="00000000">
        <w:rPr>
          <w:rFonts w:ascii="Times New Roman" w:cs="Times New Roman" w:eastAsia="Times New Roman" w:hAnsi="Times New Roman"/>
          <w:sz w:val="24"/>
          <w:szCs w:val="24"/>
          <w:rtl w:val="0"/>
        </w:rPr>
        <w:br w:type="textWrapping"/>
        <w:t xml:space="preserve">[5]</w:t>
        <w:tab/>
        <w:t xml:space="preserve">L. Yu, Z. Huang, H. Yuan et al., “Smart-LLaMA-DPO: Reinforced large language model for explainable smart contract vulnerability detection,” Proc. ACM Softw. Eng., vol. 2, no. ISSTA, pp. 182–205, 2025, doi: 10.1145/3728878. [Online]. Available: </w:t>
      </w:r>
      <w:hyperlink r:id="rId11">
        <w:r w:rsidDel="00000000" w:rsidR="00000000" w:rsidRPr="00000000">
          <w:rPr>
            <w:rFonts w:ascii="Times New Roman" w:cs="Times New Roman" w:eastAsia="Times New Roman" w:hAnsi="Times New Roman"/>
            <w:color w:val="1155cc"/>
            <w:sz w:val="24"/>
            <w:szCs w:val="24"/>
            <w:u w:val="single"/>
            <w:rtl w:val="0"/>
          </w:rPr>
          <w:t xml:space="preserve">https://arxiv.org/abs/2506.18245</w:t>
        </w:r>
      </w:hyperlink>
      <w:r w:rsidDel="00000000" w:rsidR="00000000" w:rsidRPr="00000000">
        <w:rPr>
          <w:rFonts w:ascii="Times New Roman" w:cs="Times New Roman" w:eastAsia="Times New Roman" w:hAnsi="Times New Roman"/>
          <w:sz w:val="24"/>
          <w:szCs w:val="24"/>
          <w:rtl w:val="0"/>
        </w:rPr>
        <w:br w:type="textWrapping"/>
        <w:t xml:space="preserve">[6]</w:t>
        <w:tab/>
        <w:t xml:space="preserve">T. Durieux, J. F. Ferreira, R. Abreu and P. Cruz, “Empirical review of automated analysis tools on 47,587 Ethereum smart contracts,” in Proc. ACM/IEEE 42nd Int. Conf. Software Engineering (ICSE), 2020, pp. 530–541, doi: 10.1145/3377811.3380364. [Online]. Available: </w:t>
      </w:r>
      <w:hyperlink r:id="rId12">
        <w:r w:rsidDel="00000000" w:rsidR="00000000" w:rsidRPr="00000000">
          <w:rPr>
            <w:rFonts w:ascii="Times New Roman" w:cs="Times New Roman" w:eastAsia="Times New Roman" w:hAnsi="Times New Roman"/>
            <w:color w:val="1155cc"/>
            <w:sz w:val="24"/>
            <w:szCs w:val="24"/>
            <w:u w:val="single"/>
            <w:rtl w:val="0"/>
          </w:rPr>
          <w:t xml:space="preserve">https://arxiv.org/abs/1910.10601</w:t>
        </w:r>
      </w:hyperlink>
      <w:r w:rsidDel="00000000" w:rsidR="00000000" w:rsidRPr="00000000">
        <w:rPr>
          <w:rFonts w:ascii="Times New Roman" w:cs="Times New Roman" w:eastAsia="Times New Roman" w:hAnsi="Times New Roman"/>
          <w:sz w:val="24"/>
          <w:szCs w:val="24"/>
          <w:rtl w:val="0"/>
        </w:rPr>
        <w:br w:type="textWrapping"/>
        <w:t xml:space="preserve">[7]</w:t>
        <w:tab/>
        <w:t xml:space="preserve">A. Ghaleb and K. Pattabiraman, “How effective are smart contract analysis tools? Evaluating smart contract static analysis tools using bug injection,” in Proc. 29th ACM SIGSOFT Int. Symp. Software Testing and Analysis (ISSTA), 2020, pp. 415–427, doi: 10.1145/3395363.3397385. [Online]. Available: </w:t>
      </w:r>
      <w:hyperlink r:id="rId13">
        <w:r w:rsidDel="00000000" w:rsidR="00000000" w:rsidRPr="00000000">
          <w:rPr>
            <w:rFonts w:ascii="Times New Roman" w:cs="Times New Roman" w:eastAsia="Times New Roman" w:hAnsi="Times New Roman"/>
            <w:color w:val="1155cc"/>
            <w:sz w:val="24"/>
            <w:szCs w:val="24"/>
            <w:u w:val="single"/>
            <w:rtl w:val="0"/>
          </w:rPr>
          <w:t xml:space="preserve">https://arxiv.org/abs/2005.11613</w:t>
        </w:r>
      </w:hyperlink>
      <w:r w:rsidDel="00000000" w:rsidR="00000000" w:rsidRPr="00000000">
        <w:rPr>
          <w:rFonts w:ascii="Times New Roman" w:cs="Times New Roman" w:eastAsia="Times New Roman" w:hAnsi="Times New Roman"/>
          <w:sz w:val="24"/>
          <w:szCs w:val="24"/>
          <w:rtl w:val="0"/>
        </w:rPr>
        <w:br w:type="textWrapping"/>
        <w:t xml:space="preserve">[8]</w:t>
        <w:tab/>
        <w:t xml:space="preserve">M. di Angelo, T. Durieux, J. F. Ferreira and G. Salzer, “SmartBugs 2.0: An execution framework for weakness detection in Ethereum smart contracts,” in Proc. 38th IEEE/ACM Int. Conf. Automated Software Engineering (ASE), 2023, pp. 2102–2105, doi: 10.1109/ASE56229.2023.00060. [Online]. Available: </w:t>
      </w:r>
      <w:hyperlink r:id="rId14">
        <w:r w:rsidDel="00000000" w:rsidR="00000000" w:rsidRPr="00000000">
          <w:rPr>
            <w:rFonts w:ascii="Times New Roman" w:cs="Times New Roman" w:eastAsia="Times New Roman" w:hAnsi="Times New Roman"/>
            <w:color w:val="1155cc"/>
            <w:sz w:val="24"/>
            <w:szCs w:val="24"/>
            <w:u w:val="single"/>
            <w:rtl w:val="0"/>
          </w:rPr>
          <w:t xml:space="preserve">https://arxiv.org/abs/2306.05057</w:t>
        </w:r>
      </w:hyperlink>
      <w:r w:rsidDel="00000000" w:rsidR="00000000" w:rsidRPr="00000000">
        <w:rPr>
          <w:rFonts w:ascii="Times New Roman" w:cs="Times New Roman" w:eastAsia="Times New Roman" w:hAnsi="Times New Roman"/>
          <w:sz w:val="24"/>
          <w:szCs w:val="24"/>
          <w:rtl w:val="0"/>
        </w:rPr>
        <w:br w:type="textWrapping"/>
        <w:t xml:space="preserve">[9]</w:t>
        <w:tab/>
        <w:t xml:space="preserve">S. Chaliasos, M. A. Charalambous, L. Zhou et al., “Smart contract and DeFi security tools: Do they meet the needs of practitioners?,” in Proc. IEEE/ACM 46th Int. Conf. Software Engineering (ICSE), 2024, pp. 1–13, doi: 10.1145/3597503.3623302. [Online]. Available: </w:t>
      </w:r>
      <w:hyperlink r:id="rId15">
        <w:r w:rsidDel="00000000" w:rsidR="00000000" w:rsidRPr="00000000">
          <w:rPr>
            <w:rFonts w:ascii="Times New Roman" w:cs="Times New Roman" w:eastAsia="Times New Roman" w:hAnsi="Times New Roman"/>
            <w:color w:val="1155cc"/>
            <w:sz w:val="24"/>
            <w:szCs w:val="24"/>
            <w:u w:val="single"/>
            <w:rtl w:val="0"/>
          </w:rPr>
          <w:t xml:space="preserve">https://arxiv.org/abs/2304.02981</w:t>
        </w:r>
      </w:hyperlink>
      <w:r w:rsidDel="00000000" w:rsidR="00000000" w:rsidRPr="00000000">
        <w:rPr>
          <w:rFonts w:ascii="Times New Roman" w:cs="Times New Roman" w:eastAsia="Times New Roman" w:hAnsi="Times New Roman"/>
          <w:sz w:val="24"/>
          <w:szCs w:val="24"/>
          <w:rtl w:val="0"/>
        </w:rPr>
        <w:br w:type="textWrapping"/>
        <w:t xml:space="preserve">[10]</w:t>
        <w:tab/>
        <w:t xml:space="preserve">L. Luu, D.-H. Chu, H. Olickel, P. Saxena and A. Hobor, “Making smart contracts smarter,” in Proc. ACM SIGSAC Conf. Computer and Communications Security (CCS), 2016, pp. 254–269, doi: 10.1145/2976749.2978309. [Online]. Available: </w:t>
      </w:r>
      <w:hyperlink r:id="rId16">
        <w:r w:rsidDel="00000000" w:rsidR="00000000" w:rsidRPr="00000000">
          <w:rPr>
            <w:rFonts w:ascii="Times New Roman" w:cs="Times New Roman" w:eastAsia="Times New Roman" w:hAnsi="Times New Roman"/>
            <w:color w:val="1155cc"/>
            <w:sz w:val="24"/>
            <w:szCs w:val="24"/>
            <w:u w:val="single"/>
            <w:rtl w:val="0"/>
          </w:rPr>
          <w:t xml:space="preserve">https://eprint.iacr.org/2016/633</w:t>
        </w:r>
      </w:hyperlink>
      <w:r w:rsidDel="00000000" w:rsidR="00000000" w:rsidRPr="00000000">
        <w:rPr>
          <w:rFonts w:ascii="Times New Roman" w:cs="Times New Roman" w:eastAsia="Times New Roman" w:hAnsi="Times New Roman"/>
          <w:sz w:val="24"/>
          <w:szCs w:val="24"/>
          <w:rtl w:val="0"/>
        </w:rPr>
        <w:br w:type="textWrapping"/>
        <w:t xml:space="preserve">[11]</w:t>
        <w:tab/>
        <w:t xml:space="preserve">J. Feist, G. Grieco and A. Groce, “Slither: A static analysis framework for smart contracts,” in Proc. IEEE/ACM 2nd Int. Workshop Emerging Trends in Software Engineering for Blockchain (WETSEB), 2019, pp. 8–15, doi: 10.1109/WETSEB.2019.00008. [Online]. Available: </w:t>
      </w:r>
      <w:hyperlink r:id="rId17">
        <w:r w:rsidDel="00000000" w:rsidR="00000000" w:rsidRPr="00000000">
          <w:rPr>
            <w:rFonts w:ascii="Times New Roman" w:cs="Times New Roman" w:eastAsia="Times New Roman" w:hAnsi="Times New Roman"/>
            <w:color w:val="1155cc"/>
            <w:sz w:val="24"/>
            <w:szCs w:val="24"/>
            <w:u w:val="single"/>
            <w:rtl w:val="0"/>
          </w:rPr>
          <w:t xml:space="preserve">https://arxiv.org/abs/1908.09878</w:t>
        </w:r>
      </w:hyperlink>
      <w:r w:rsidDel="00000000" w:rsidR="00000000" w:rsidRPr="00000000">
        <w:rPr>
          <w:rFonts w:ascii="Times New Roman" w:cs="Times New Roman" w:eastAsia="Times New Roman" w:hAnsi="Times New Roman"/>
          <w:sz w:val="24"/>
          <w:szCs w:val="24"/>
          <w:rtl w:val="0"/>
        </w:rPr>
        <w:br w:type="textWrapping"/>
        <w:t xml:space="preserve">[12]</w:t>
        <w:tab/>
        <w:t xml:space="preserve">P. Tsankov, A. Dan, D. Drachsler-Cohen, A. Gervais, F. Bünzli and M. Vechev, “Securify: Practical security analysis of smart contracts,” in Proc. ACM SIGSAC Conf. Computer and Communications Security (CCS), 2018, pp. 67–82, doi: 10.1145/3243734.3243780. [Online]. Available: </w:t>
      </w:r>
      <w:hyperlink r:id="rId18">
        <w:r w:rsidDel="00000000" w:rsidR="00000000" w:rsidRPr="00000000">
          <w:rPr>
            <w:rFonts w:ascii="Times New Roman" w:cs="Times New Roman" w:eastAsia="Times New Roman" w:hAnsi="Times New Roman"/>
            <w:color w:val="1155cc"/>
            <w:sz w:val="24"/>
            <w:szCs w:val="24"/>
            <w:u w:val="single"/>
            <w:rtl w:val="0"/>
          </w:rPr>
          <w:t xml:space="preserve">https://arxiv.org/abs/1806.01143</w:t>
        </w:r>
      </w:hyperlink>
      <w:r w:rsidDel="00000000" w:rsidR="00000000" w:rsidRPr="00000000">
        <w:rPr>
          <w:rFonts w:ascii="Times New Roman" w:cs="Times New Roman" w:eastAsia="Times New Roman" w:hAnsi="Times New Roman"/>
          <w:sz w:val="24"/>
          <w:szCs w:val="24"/>
          <w:rtl w:val="0"/>
        </w:rPr>
        <w:br w:type="textWrapping"/>
        <w:t xml:space="preserve">[13]</w:t>
        <w:tab/>
        <w:t xml:space="preserve">C. Ferreira Torres, J. Schütte and R. State, “Osiris: Hunting for integer bugs in Ethereum smart contracts,” in Proc. 34th Annu. Computer Security Applications Conf. (ACSAC), 2018, pp. 664–676, doi: 10.1145/3274694.3274737. [Online]. Available: </w:t>
      </w:r>
      <w:hyperlink r:id="rId19">
        <w:r w:rsidDel="00000000" w:rsidR="00000000" w:rsidRPr="00000000">
          <w:rPr>
            <w:rFonts w:ascii="Times New Roman" w:cs="Times New Roman" w:eastAsia="Times New Roman" w:hAnsi="Times New Roman"/>
            <w:color w:val="1155cc"/>
            <w:sz w:val="24"/>
            <w:szCs w:val="24"/>
            <w:u w:val="single"/>
            <w:rtl w:val="0"/>
          </w:rPr>
          <w:t xml:space="preserve">https://orbilu.uni.lu/handle/10993/36757</w:t>
        </w:r>
      </w:hyperlink>
      <w:r w:rsidDel="00000000" w:rsidR="00000000" w:rsidRPr="00000000">
        <w:rPr>
          <w:rFonts w:ascii="Times New Roman" w:cs="Times New Roman" w:eastAsia="Times New Roman" w:hAnsi="Times New Roman"/>
          <w:sz w:val="24"/>
          <w:szCs w:val="24"/>
          <w:rtl w:val="0"/>
        </w:rPr>
        <w:br w:type="textWrapping"/>
        <w:t xml:space="preserve">[14]</w:t>
        <w:tab/>
        <w:t xml:space="preserve">M. Rodler, W. Li, G. O. Karame and L. Davi, “Sereum: Protecting existing smart contracts against re-entrancy attacks,” in Proc. Network and Distributed System Security Symp. (NDSS), 2019, doi: 10.14722/ndss.2019.23413. [Online]. Available: </w:t>
      </w:r>
      <w:hyperlink r:id="rId20">
        <w:r w:rsidDel="00000000" w:rsidR="00000000" w:rsidRPr="00000000">
          <w:rPr>
            <w:rFonts w:ascii="Times New Roman" w:cs="Times New Roman" w:eastAsia="Times New Roman" w:hAnsi="Times New Roman"/>
            <w:color w:val="1155cc"/>
            <w:sz w:val="24"/>
            <w:szCs w:val="24"/>
            <w:u w:val="single"/>
            <w:rtl w:val="0"/>
          </w:rPr>
          <w:t xml:space="preserve">https://arxiv.org/abs/1812.05934</w:t>
        </w:r>
      </w:hyperlink>
      <w:r w:rsidDel="00000000" w:rsidR="00000000" w:rsidRPr="00000000">
        <w:rPr>
          <w:rFonts w:ascii="Times New Roman" w:cs="Times New Roman" w:eastAsia="Times New Roman" w:hAnsi="Times New Roman"/>
          <w:sz w:val="24"/>
          <w:szCs w:val="24"/>
          <w:rtl w:val="0"/>
        </w:rPr>
        <w:br w:type="textWrapping"/>
        <w:t xml:space="preserve">[15]</w:t>
        <w:tab/>
        <w:t xml:space="preserve">B. Jiang, Y. Liu and W. K. Chan, “ContractFuzzer: Fuzzing smart contracts for vulnerability detection,” in Proc. 33rd ACM/IEEE Int. Conf. Automated Software Engineering (ASE), 2018, pp. 259–269, doi: 10.1145/3238147.3238177. [Online]. Available: </w:t>
      </w:r>
      <w:hyperlink r:id="rId21">
        <w:r w:rsidDel="00000000" w:rsidR="00000000" w:rsidRPr="00000000">
          <w:rPr>
            <w:rFonts w:ascii="Times New Roman" w:cs="Times New Roman" w:eastAsia="Times New Roman" w:hAnsi="Times New Roman"/>
            <w:color w:val="1155cc"/>
            <w:sz w:val="24"/>
            <w:szCs w:val="24"/>
            <w:u w:val="single"/>
            <w:rtl w:val="0"/>
          </w:rPr>
          <w:t xml:space="preserve">https://arxiv.org/abs/1807.03932</w:t>
        </w:r>
      </w:hyperlink>
      <w:r w:rsidDel="00000000" w:rsidR="00000000" w:rsidRPr="00000000">
        <w:rPr>
          <w:rFonts w:ascii="Times New Roman" w:cs="Times New Roman" w:eastAsia="Times New Roman" w:hAnsi="Times New Roman"/>
          <w:sz w:val="24"/>
          <w:szCs w:val="24"/>
          <w:rtl w:val="0"/>
        </w:rPr>
        <w:br w:type="textWrapping"/>
        <w:t xml:space="preserve">[16]</w:t>
        <w:tab/>
        <w:t xml:space="preserve">Y. Zhuang, Z. Liu, P. Qian, Q. Liu, X. Wang and Q. He, “Smart contract vulnerability detection using graph neural network,” in Proc. 29th Int. Joint Conf. Artificial Intelligence (IJCAI), 2020, pp. 3283–3290, doi: 10.24963/ijcai.2020/454. [Online]. Available: </w:t>
      </w:r>
      <w:hyperlink r:id="rId22">
        <w:r w:rsidDel="00000000" w:rsidR="00000000" w:rsidRPr="00000000">
          <w:rPr>
            <w:rFonts w:ascii="Times New Roman" w:cs="Times New Roman" w:eastAsia="Times New Roman" w:hAnsi="Times New Roman"/>
            <w:color w:val="1155cc"/>
            <w:sz w:val="24"/>
            <w:szCs w:val="24"/>
            <w:u w:val="single"/>
            <w:rtl w:val="0"/>
          </w:rPr>
          <w:t xml:space="preserve">https://www.ijcai.org/proceedings/2020/0454.pdf</w:t>
        </w:r>
      </w:hyperlink>
      <w:r w:rsidDel="00000000" w:rsidR="00000000" w:rsidRPr="00000000">
        <w:rPr>
          <w:rFonts w:ascii="Times New Roman" w:cs="Times New Roman" w:eastAsia="Times New Roman" w:hAnsi="Times New Roman"/>
          <w:sz w:val="24"/>
          <w:szCs w:val="24"/>
          <w:rtl w:val="0"/>
        </w:rPr>
        <w:br w:type="textWrapping"/>
        <w:t xml:space="preserve">[17]</w:t>
        <w:tab/>
        <w:t xml:space="preserve">Z. Liu, P. Qian, X. Wang, Y. Zhuang, L. Qiu and X. Wang, “Combining graph neural networks with expert knowledge for smart contract vulnerability detection,” IEEE Trans. Knowl. Data Eng., early access, 2021, doi: 10.1109/TKDE.2021.3095196. [Online]. Available: </w:t>
      </w:r>
      <w:hyperlink r:id="rId23">
        <w:r w:rsidDel="00000000" w:rsidR="00000000" w:rsidRPr="00000000">
          <w:rPr>
            <w:rFonts w:ascii="Times New Roman" w:cs="Times New Roman" w:eastAsia="Times New Roman" w:hAnsi="Times New Roman"/>
            <w:color w:val="1155cc"/>
            <w:sz w:val="24"/>
            <w:szCs w:val="24"/>
            <w:u w:val="single"/>
            <w:rtl w:val="0"/>
          </w:rPr>
          <w:t xml:space="preserve">https://arxiv.org/abs/2107.11598</w:t>
        </w:r>
      </w:hyperlink>
      <w:r w:rsidDel="00000000" w:rsidR="00000000" w:rsidRPr="00000000">
        <w:rPr>
          <w:rFonts w:ascii="Times New Roman" w:cs="Times New Roman" w:eastAsia="Times New Roman" w:hAnsi="Times New Roman"/>
          <w:sz w:val="24"/>
          <w:szCs w:val="24"/>
          <w:rtl w:val="0"/>
        </w:rPr>
        <w:br w:type="textWrapping"/>
        <w:t xml:space="preserve">[18]</w:t>
        <w:tab/>
        <w:t xml:space="preserve">N. Atzei, M. Bartoletti and T. Cimoli, “A survey of attacks on Ethereum smart contracts (SoK),” in Principles of Security and Trust (POST 2017), Lecture Notes in Computer Science. Berlin, Germany: Springer, 2017, pp. 164–186, doi: 10.1007/978-3-662-54455-6_8. [Online]. Available: </w:t>
      </w:r>
      <w:hyperlink r:id="rId24">
        <w:r w:rsidDel="00000000" w:rsidR="00000000" w:rsidRPr="00000000">
          <w:rPr>
            <w:rFonts w:ascii="Times New Roman" w:cs="Times New Roman" w:eastAsia="Times New Roman" w:hAnsi="Times New Roman"/>
            <w:color w:val="1155cc"/>
            <w:sz w:val="24"/>
            <w:szCs w:val="24"/>
            <w:u w:val="single"/>
            <w:rtl w:val="0"/>
          </w:rPr>
          <w:t xml:space="preserve">https://eprint.iacr.org/2016/1007</w:t>
        </w:r>
      </w:hyperlink>
      <w:r w:rsidDel="00000000" w:rsidR="00000000" w:rsidRPr="00000000">
        <w:rPr>
          <w:rFonts w:ascii="Times New Roman" w:cs="Times New Roman" w:eastAsia="Times New Roman" w:hAnsi="Times New Roman"/>
          <w:sz w:val="24"/>
          <w:szCs w:val="24"/>
          <w:rtl w:val="0"/>
        </w:rPr>
        <w:br w:type="textWrapping"/>
        <w:t xml:space="preserve">[19]</w:t>
        <w:tab/>
        <w:t xml:space="preserve">L. Zhou, X. Xiong, J. Ernstberger et al., “SoK: Decentralized finance (DeFi) attacks,” in Proc. IEEE Symp. Security and Privacy (S&amp;P), 2023, pp. 2444–2461, doi: 10.1109/SP46215.2023.10179435. [Online]. Available: </w:t>
      </w:r>
      <w:hyperlink r:id="rId25">
        <w:r w:rsidDel="00000000" w:rsidR="00000000" w:rsidRPr="00000000">
          <w:rPr>
            <w:rFonts w:ascii="Times New Roman" w:cs="Times New Roman" w:eastAsia="Times New Roman" w:hAnsi="Times New Roman"/>
            <w:color w:val="1155cc"/>
            <w:sz w:val="24"/>
            <w:szCs w:val="24"/>
            <w:u w:val="single"/>
            <w:rtl w:val="0"/>
          </w:rPr>
          <w:t xml:space="preserve">https://arxiv.org/abs/2208.13035</w:t>
        </w:r>
      </w:hyperlink>
      <w:r w:rsidDel="00000000" w:rsidR="00000000" w:rsidRPr="00000000">
        <w:rPr>
          <w:rFonts w:ascii="Times New Roman" w:cs="Times New Roman" w:eastAsia="Times New Roman" w:hAnsi="Times New Roman"/>
          <w:sz w:val="24"/>
          <w:szCs w:val="24"/>
          <w:rtl w:val="0"/>
        </w:rPr>
        <w:br w:type="textWrapping"/>
        <w:t xml:space="preserve">[20]</w:t>
        <w:tab/>
        <w:t xml:space="preserve">T. B. Brown, B. Mann, N. Ryder et al., “Language models are few-shot learners,” in Advances in Neural Information Processing Systems (NeurIPS), vol. 33, 2020. [Online]. Available: </w:t>
      </w:r>
      <w:hyperlink r:id="rId26">
        <w:r w:rsidDel="00000000" w:rsidR="00000000" w:rsidRPr="00000000">
          <w:rPr>
            <w:rFonts w:ascii="Times New Roman" w:cs="Times New Roman" w:eastAsia="Times New Roman" w:hAnsi="Times New Roman"/>
            <w:color w:val="1155cc"/>
            <w:sz w:val="24"/>
            <w:szCs w:val="24"/>
            <w:u w:val="single"/>
            <w:rtl w:val="0"/>
          </w:rPr>
          <w:t xml:space="preserve">https://arxiv.org/abs/2005.14165</w:t>
        </w:r>
      </w:hyperlink>
      <w:r w:rsidDel="00000000" w:rsidR="00000000" w:rsidRPr="00000000">
        <w:rPr>
          <w:rFonts w:ascii="Times New Roman" w:cs="Times New Roman" w:eastAsia="Times New Roman" w:hAnsi="Times New Roman"/>
          <w:sz w:val="24"/>
          <w:szCs w:val="24"/>
          <w:rtl w:val="0"/>
        </w:rPr>
        <w:br w:type="textWrapping"/>
        <w:t xml:space="preserve">[21]</w:t>
        <w:tab/>
        <w:t xml:space="preserve">J. Wei, X. Wang, D. Schuurmans et al., “Chain-of-thought prompting elicits reasoning in large language models,” in Advances in Neural Information Processing Systems (NeurIPS), vol. 35, 2022. [Online]. Available: </w:t>
      </w:r>
      <w:hyperlink r:id="rId27">
        <w:r w:rsidDel="00000000" w:rsidR="00000000" w:rsidRPr="00000000">
          <w:rPr>
            <w:rFonts w:ascii="Times New Roman" w:cs="Times New Roman" w:eastAsia="Times New Roman" w:hAnsi="Times New Roman"/>
            <w:color w:val="1155cc"/>
            <w:sz w:val="24"/>
            <w:szCs w:val="24"/>
            <w:u w:val="single"/>
            <w:rtl w:val="0"/>
          </w:rPr>
          <w:t xml:space="preserve">https://arxiv.org/abs/2201.11903</w:t>
        </w:r>
      </w:hyperlink>
      <w:r w:rsidDel="00000000" w:rsidR="00000000" w:rsidRPr="00000000">
        <w:rPr>
          <w:rFonts w:ascii="Times New Roman" w:cs="Times New Roman" w:eastAsia="Times New Roman" w:hAnsi="Times New Roman"/>
          <w:sz w:val="24"/>
          <w:szCs w:val="24"/>
          <w:rtl w:val="0"/>
        </w:rPr>
        <w:br w:type="textWrapping"/>
        <w:t xml:space="preserve">[22]</w:t>
        <w:tab/>
        <w:t xml:space="preserve">J. Sallou, T. Durieux and A. Panichella, “Breaking the silence: The threats of using LLMs in software engineering,” in Proc. ACM/IEEE 44th Int. Conf. Software Engineering: New Ideas and Emerging Results (ICSE-NIER), 2024, pp. 102–106, doi: 10.1145/3639476.3639764. [Online]. Available: </w:t>
      </w:r>
      <w:hyperlink r:id="rId28">
        <w:r w:rsidDel="00000000" w:rsidR="00000000" w:rsidRPr="00000000">
          <w:rPr>
            <w:rFonts w:ascii="Times New Roman" w:cs="Times New Roman" w:eastAsia="Times New Roman" w:hAnsi="Times New Roman"/>
            <w:color w:val="1155cc"/>
            <w:sz w:val="24"/>
            <w:szCs w:val="24"/>
            <w:u w:val="single"/>
            <w:rtl w:val="0"/>
          </w:rPr>
          <w:t xml:space="preserve">https://arxiv.org/abs/2312.08055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l Tatiyev" w:id="0" w:date="2026-10-19T07:54:25Z">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Empirical study of ChatGPT on a public smart contract dataset, finding high recall but limited precision that varies by vulnerability type.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Shows that sampling more LLM answers finds more true bugs but also more false positives, and proposes GPTLens, which separates generating findings (auditor) from judging them (critic).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Combines GPT with static analysis to detect logic vulnerabilities that pattern-based tools, which mainly target bugs such as reentrancy and integer overflow, cannot find.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Proposes iAudit, which combines two-stage fine-tuning with LLM agents so that each finding comes with a justification, motivated by GPT-4 reaching only about 30% precision.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Trains a LLaMA-3.1-8B model to detect and explain four vulnerability types, including reentrancy and integer overflow/underflow, and reports that LLMs struggle with the order of state changes in contracts.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Introduces the SmartBugs framework and a dataset of 69 annotated vulnerable contracts (SmartBugs Curated), on which it compares nine analysis tools.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Proposes SolidiFI, which injects bugs into contracts to measure which ones static analysis tools fail to detect.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Modular framework that runs 19 analysis tools through one interface on Solidity source code or EVM bytecode.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Evaluates five security tools on 127 real attacks and surveys 49 practitioners, finding the tools could have prevented only 8% of the attacks, all of them reentrancy.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Presents Oyente, a symbolic execution tool for Ethereum contracts that detects security bugs including reentrancy.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Static analysis framework that converts Solidity into the SlithIR intermediate representation and runs vulnerability detectors on it; it is our baseline.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Security analyser that extracts semantic facts from a contract's dependency graph and checks compliance and violation patterns to prove behaviours safe or unsafe.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Detects integer bugs in Ethereum contracts by combining symbolic execution with</w:t>
      </w:r>
    </w:p>
  </w:comment>
  <w:comment w:author="Adil Tatiyev" w:id="1" w:date="2026-10-19T07:54:50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Detects integer bugs in Ethereum contracts by combining symbolic execution with taint analysis.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Protects deployed contracts against reentrancy through run-time monitoring, and presents three advanced reentrancy attacks that offline analysis tools miss.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Fuzzes contracts with inputs generated from their ABI and uses test oracles to detect security vulnerabilities.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Represents contract functions as graphs and uses graph neural networks to detect three vulnerability types, outperforming rule-based methods.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Combines graph neural networks with expert-defined security patterns for vulnerability detection.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Taxonomy of Ethereum smart contract vulnerabilities with example attacks, including the DAO reentrancy attack.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Systematises DeFi incidents using 77 academic papers, 30 audit reports and 181 real-world incidents.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Introduces GPT-3 and shows that a large model can perform new tasks from a few in-context examples, the basis of our few-shot prompt.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Shows that prompting a model to write intermediate reasoning steps improves multi-step reasoning, the basis of our step-by-step prompt.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Discusses threats to LLM-based software engineering research, such as training-data leakage and poor reproducibility, and proposes guidelines; it motivates our leakage controls.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1812.05934" TargetMode="External"/><Relationship Id="rId22" Type="http://schemas.openxmlformats.org/officeDocument/2006/relationships/hyperlink" Target="https://www.ijcai.org/proceedings/2020/0454.pdf" TargetMode="External"/><Relationship Id="rId21" Type="http://schemas.openxmlformats.org/officeDocument/2006/relationships/hyperlink" Target="https://arxiv.org/abs/1807.03932" TargetMode="External"/><Relationship Id="rId24" Type="http://schemas.openxmlformats.org/officeDocument/2006/relationships/hyperlink" Target="https://eprint.iacr.org/2016/1007" TargetMode="External"/><Relationship Id="rId23" Type="http://schemas.openxmlformats.org/officeDocument/2006/relationships/hyperlink" Target="https://arxiv.org/abs/2107.1159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xiv.org/abs/2308.03314" TargetMode="External"/><Relationship Id="rId26" Type="http://schemas.openxmlformats.org/officeDocument/2006/relationships/hyperlink" Target="https://arxiv.org/abs/2005.14165" TargetMode="External"/><Relationship Id="rId25" Type="http://schemas.openxmlformats.org/officeDocument/2006/relationships/hyperlink" Target="https://arxiv.org/abs/2208.13035" TargetMode="External"/><Relationship Id="rId28" Type="http://schemas.openxmlformats.org/officeDocument/2006/relationships/hyperlink" Target="https://arxiv.org/abs/2312.08055" TargetMode="External"/><Relationship Id="rId27" Type="http://schemas.openxmlformats.org/officeDocument/2006/relationships/hyperlink" Target="https://arxiv.org/abs/2201.1190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rxiv.org/abs/2309.05520" TargetMode="External"/><Relationship Id="rId8" Type="http://schemas.openxmlformats.org/officeDocument/2006/relationships/hyperlink" Target="https://arxiv.org/abs/2310.01152" TargetMode="External"/><Relationship Id="rId11" Type="http://schemas.openxmlformats.org/officeDocument/2006/relationships/hyperlink" Target="https://arxiv.org/abs/2506.18245" TargetMode="External"/><Relationship Id="rId10" Type="http://schemas.openxmlformats.org/officeDocument/2006/relationships/hyperlink" Target="https://arxiv.org/abs/2403.16073" TargetMode="External"/><Relationship Id="rId13" Type="http://schemas.openxmlformats.org/officeDocument/2006/relationships/hyperlink" Target="https://arxiv.org/abs/2005.11613" TargetMode="External"/><Relationship Id="rId12" Type="http://schemas.openxmlformats.org/officeDocument/2006/relationships/hyperlink" Target="https://arxiv.org/abs/1910.10601" TargetMode="External"/><Relationship Id="rId15" Type="http://schemas.openxmlformats.org/officeDocument/2006/relationships/hyperlink" Target="https://arxiv.org/abs/2304.02981" TargetMode="External"/><Relationship Id="rId14" Type="http://schemas.openxmlformats.org/officeDocument/2006/relationships/hyperlink" Target="https://arxiv.org/abs/2306.05057" TargetMode="External"/><Relationship Id="rId17" Type="http://schemas.openxmlformats.org/officeDocument/2006/relationships/hyperlink" Target="https://arxiv.org/abs/1908.09878" TargetMode="External"/><Relationship Id="rId16" Type="http://schemas.openxmlformats.org/officeDocument/2006/relationships/hyperlink" Target="https://eprint.iacr.org/2016/633" TargetMode="External"/><Relationship Id="rId19" Type="http://schemas.openxmlformats.org/officeDocument/2006/relationships/hyperlink" Target="https://orbilu.uni.lu/handle/10993/36757" TargetMode="External"/><Relationship Id="rId18" Type="http://schemas.openxmlformats.org/officeDocument/2006/relationships/hyperlink" Target="https://arxiv.org/abs/1806.011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