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B04" w:rsidRDefault="00E014C1" w:rsidP="0062077A">
      <w:pPr>
        <w:jc w:val="center"/>
        <w:rPr>
          <w:sz w:val="32"/>
          <w:szCs w:val="32"/>
        </w:rPr>
      </w:pPr>
      <w:r>
        <w:rPr>
          <w:sz w:val="32"/>
          <w:szCs w:val="32"/>
        </w:rPr>
        <w:t>Контрольная работа. Уланов Павел</w:t>
      </w:r>
      <w:r w:rsidR="0062077A" w:rsidRPr="0062077A">
        <w:rPr>
          <w:sz w:val="32"/>
          <w:szCs w:val="32"/>
        </w:rPr>
        <w:t xml:space="preserve"> 104М.</w:t>
      </w:r>
    </w:p>
    <w:p w:rsidR="0062077A" w:rsidRDefault="0062077A" w:rsidP="0062077A">
      <w:pPr>
        <w:rPr>
          <w:sz w:val="28"/>
          <w:szCs w:val="28"/>
        </w:rPr>
      </w:pP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Вопрос 1.</w:t>
      </w: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Количественные результаты для показателя преломления (и плотности) могут быть получены если:</w:t>
      </w:r>
    </w:p>
    <w:p w:rsidR="0062077A" w:rsidRDefault="0062077A" w:rsidP="0062077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Плоский объект (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=</w:t>
      </w:r>
      <w:proofErr w:type="gramStart"/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x</w:t>
      </w:r>
      <w:r w:rsidRPr="0062077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62077A">
        <w:rPr>
          <w:sz w:val="28"/>
          <w:szCs w:val="28"/>
        </w:rPr>
        <w:t>))</w:t>
      </w:r>
    </w:p>
    <w:p w:rsidR="0062077A" w:rsidRDefault="0062077A" w:rsidP="0062077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Осесимметричный объект (</w:t>
      </w:r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=</w:t>
      </w:r>
      <w:proofErr w:type="gramStart"/>
      <w:r>
        <w:rPr>
          <w:sz w:val="28"/>
          <w:szCs w:val="28"/>
          <w:lang w:val="en-US"/>
        </w:rPr>
        <w:t>n</w:t>
      </w:r>
      <w:r w:rsidRPr="0062077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r</w:t>
      </w:r>
      <w:r w:rsidRPr="0062077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</w:t>
      </w:r>
      <w:r w:rsidRPr="0062077A">
        <w:rPr>
          <w:sz w:val="28"/>
          <w:szCs w:val="28"/>
        </w:rPr>
        <w:t>))</w:t>
      </w:r>
    </w:p>
    <w:p w:rsidR="002F0A88" w:rsidRPr="002F0A88" w:rsidRDefault="0062077A" w:rsidP="002F0A8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 большом количестве ракурсов (</w:t>
      </w:r>
      <w:r>
        <w:rPr>
          <w:sz w:val="28"/>
          <w:szCs w:val="28"/>
          <w:lang w:val="en-US"/>
        </w:rPr>
        <w:t>&gt;3)</w:t>
      </w:r>
    </w:p>
    <w:p w:rsidR="002F0A88" w:rsidRPr="002F0A88" w:rsidRDefault="002F0A88" w:rsidP="002F0A88">
      <w:pPr>
        <w:rPr>
          <w:sz w:val="28"/>
          <w:szCs w:val="28"/>
        </w:rPr>
      </w:pPr>
    </w:p>
    <w:p w:rsidR="0062077A" w:rsidRDefault="0062077A" w:rsidP="0062077A">
      <w:pPr>
        <w:rPr>
          <w:sz w:val="28"/>
          <w:szCs w:val="28"/>
        </w:rPr>
      </w:pPr>
      <w:r>
        <w:rPr>
          <w:sz w:val="28"/>
          <w:szCs w:val="28"/>
        </w:rPr>
        <w:t>Вопрос 2.</w:t>
      </w:r>
    </w:p>
    <w:p w:rsidR="00F036BB" w:rsidRDefault="00341FCE" w:rsidP="0062077A">
      <w:pPr>
        <w:tabs>
          <w:tab w:val="left" w:pos="735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B1552" wp14:editId="10DDD6FD">
                <wp:simplePos x="0" y="0"/>
                <wp:positionH relativeFrom="column">
                  <wp:posOffset>0</wp:posOffset>
                </wp:positionH>
                <wp:positionV relativeFrom="paragraph">
                  <wp:posOffset>3060700</wp:posOffset>
                </wp:positionV>
                <wp:extent cx="2066290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1FCE" w:rsidRPr="00341FCE" w:rsidRDefault="00341FCE" w:rsidP="00341FCE">
                            <w:pPr>
                              <w:pStyle w:val="a4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41FCE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Рис.1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2B1552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0;margin-top:241pt;width:162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" stroked="f">
                <v:textbox style="mso-fit-shape-to-text:t" inset="0,0,0,0">
                  <w:txbxContent>
                    <w:p w:rsidR="00341FCE" w:rsidRPr="00341FCE" w:rsidRDefault="00341FCE" w:rsidP="00341FCE">
                      <w:pPr>
                        <w:pStyle w:val="a4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341FCE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Рис.1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077A" w:rsidRPr="0062077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3467100"/>
            <wp:positionH relativeFrom="column">
              <wp:align>left</wp:align>
            </wp:positionH>
            <wp:positionV relativeFrom="paragraph">
              <wp:align>top</wp:align>
            </wp:positionV>
            <wp:extent cx="2066625" cy="3004147"/>
            <wp:effectExtent l="0" t="0" r="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25" cy="300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1486">
        <w:rPr>
          <w:sz w:val="28"/>
          <w:szCs w:val="28"/>
        </w:rPr>
        <w:t>На Рис. 1</w:t>
      </w:r>
      <w:r w:rsidR="0062077A">
        <w:rPr>
          <w:sz w:val="28"/>
          <w:szCs w:val="28"/>
        </w:rPr>
        <w:t xml:space="preserve"> представлено сверхзвуковое обтекание шара</w:t>
      </w:r>
      <w:r w:rsidR="005C56EC">
        <w:rPr>
          <w:sz w:val="28"/>
          <w:szCs w:val="28"/>
        </w:rPr>
        <w:t xml:space="preserve"> </w:t>
      </w:r>
      <w:r w:rsidR="0062077A">
        <w:rPr>
          <w:sz w:val="28"/>
          <w:szCs w:val="28"/>
        </w:rPr>
        <w:t>с установившейся ударной волной</w:t>
      </w:r>
      <w:r w:rsidR="008F506B" w:rsidRPr="008F506B">
        <w:rPr>
          <w:sz w:val="28"/>
          <w:szCs w:val="28"/>
        </w:rPr>
        <w:t xml:space="preserve"> </w:t>
      </w:r>
      <w:r w:rsidR="008F506B">
        <w:rPr>
          <w:sz w:val="28"/>
          <w:szCs w:val="28"/>
        </w:rPr>
        <w:t xml:space="preserve">перед шаром. </w:t>
      </w:r>
      <w:r w:rsidR="0062077A">
        <w:rPr>
          <w:sz w:val="28"/>
          <w:szCs w:val="28"/>
        </w:rPr>
        <w:t xml:space="preserve">Сразу за шаром наблюдается </w:t>
      </w:r>
      <w:r w:rsidR="00F036BB">
        <w:rPr>
          <w:sz w:val="28"/>
          <w:szCs w:val="28"/>
        </w:rPr>
        <w:t>область турбулентного течения. Также за шаром наблюдаются скачки уплотнения.</w:t>
      </w:r>
      <w:r w:rsidR="00E014C1">
        <w:rPr>
          <w:sz w:val="28"/>
          <w:szCs w:val="28"/>
        </w:rPr>
        <w:t xml:space="preserve"> </w:t>
      </w:r>
      <w:r w:rsidR="008F506B">
        <w:rPr>
          <w:sz w:val="28"/>
          <w:szCs w:val="28"/>
        </w:rPr>
        <w:t>В</w:t>
      </w:r>
      <w:r w:rsidR="00E014C1">
        <w:rPr>
          <w:sz w:val="28"/>
          <w:szCs w:val="28"/>
        </w:rPr>
        <w:t xml:space="preserve"> левой части фотоизображения наблюдается маленький осколок, с подобным формированием </w:t>
      </w:r>
      <w:r w:rsidR="001A20F6">
        <w:rPr>
          <w:sz w:val="28"/>
          <w:szCs w:val="28"/>
        </w:rPr>
        <w:t>потока</w:t>
      </w:r>
      <w:r w:rsidR="00E014C1">
        <w:rPr>
          <w:sz w:val="28"/>
          <w:szCs w:val="28"/>
        </w:rPr>
        <w:t>.</w:t>
      </w:r>
    </w:p>
    <w:p w:rsidR="00A56EBA" w:rsidRDefault="00A56EBA" w:rsidP="0062077A">
      <w:pPr>
        <w:tabs>
          <w:tab w:val="left" w:pos="735"/>
        </w:tabs>
        <w:rPr>
          <w:sz w:val="28"/>
          <w:szCs w:val="28"/>
        </w:rPr>
      </w:pPr>
      <w:r>
        <w:rPr>
          <w:sz w:val="28"/>
          <w:szCs w:val="28"/>
        </w:rPr>
        <w:t>Поток является трехмерным, квазистационарным, сверхзвуковым, однофазным и вязким.</w:t>
      </w:r>
    </w:p>
    <w:p w:rsidR="00F036BB" w:rsidRDefault="00F036BB" w:rsidP="0062077A">
      <w:pPr>
        <w:tabs>
          <w:tab w:val="left" w:pos="735"/>
        </w:tabs>
        <w:rPr>
          <w:sz w:val="28"/>
          <w:szCs w:val="28"/>
        </w:rPr>
      </w:pPr>
      <w:r>
        <w:rPr>
          <w:sz w:val="28"/>
          <w:szCs w:val="28"/>
        </w:rPr>
        <w:t>Метод визуализации –</w:t>
      </w:r>
      <w:r w:rsidR="00D307C0">
        <w:rPr>
          <w:sz w:val="28"/>
          <w:szCs w:val="28"/>
        </w:rPr>
        <w:t xml:space="preserve"> </w:t>
      </w:r>
      <w:r w:rsidR="00B35C0F">
        <w:rPr>
          <w:sz w:val="28"/>
          <w:szCs w:val="28"/>
        </w:rPr>
        <w:t>теневой</w:t>
      </w:r>
      <w:r>
        <w:rPr>
          <w:sz w:val="28"/>
          <w:szCs w:val="28"/>
        </w:rPr>
        <w:t xml:space="preserve"> метод</w:t>
      </w:r>
      <w:r w:rsidR="00D307C0">
        <w:rPr>
          <w:sz w:val="28"/>
          <w:szCs w:val="28"/>
        </w:rPr>
        <w:t>. Это способ обнаружения оптических неоднородностей в прозрачных средах.</w:t>
      </w:r>
      <w:r w:rsidR="00313386">
        <w:rPr>
          <w:sz w:val="28"/>
          <w:szCs w:val="28"/>
        </w:rPr>
        <w:t xml:space="preserve"> В теневом методе регистрируется изменение градиента плотности.</w:t>
      </w:r>
    </w:p>
    <w:p w:rsidR="0062077A" w:rsidRDefault="0062077A" w:rsidP="0062077A">
      <w:pPr>
        <w:rPr>
          <w:sz w:val="28"/>
          <w:szCs w:val="28"/>
        </w:rPr>
      </w:pPr>
    </w:p>
    <w:p w:rsidR="00D307C0" w:rsidRDefault="00D307C0" w:rsidP="0062077A">
      <w:pPr>
        <w:rPr>
          <w:sz w:val="28"/>
          <w:szCs w:val="28"/>
        </w:rPr>
      </w:pPr>
      <w:r>
        <w:rPr>
          <w:sz w:val="28"/>
          <w:szCs w:val="28"/>
        </w:rPr>
        <w:t>Вопрос 3.</w:t>
      </w:r>
    </w:p>
    <w:p w:rsidR="005C56EC" w:rsidRDefault="000B376E" w:rsidP="0062077A">
      <w:pPr>
        <w:rPr>
          <w:sz w:val="28"/>
          <w:szCs w:val="28"/>
        </w:rPr>
      </w:pPr>
      <w:r>
        <w:rPr>
          <w:sz w:val="28"/>
          <w:szCs w:val="28"/>
        </w:rPr>
        <w:t>Цветной теневой метод з</w:t>
      </w:r>
      <w:r w:rsidR="008F506B">
        <w:rPr>
          <w:sz w:val="28"/>
          <w:szCs w:val="28"/>
        </w:rPr>
        <w:t xml:space="preserve">ондирования является вариацией </w:t>
      </w:r>
      <w:proofErr w:type="spellStart"/>
      <w:r w:rsidR="008F506B">
        <w:rPr>
          <w:sz w:val="28"/>
          <w:szCs w:val="28"/>
        </w:rPr>
        <w:t>ш</w:t>
      </w:r>
      <w:r>
        <w:rPr>
          <w:sz w:val="28"/>
          <w:szCs w:val="28"/>
        </w:rPr>
        <w:t>лирен</w:t>
      </w:r>
      <w:proofErr w:type="spellEnd"/>
      <w:r>
        <w:rPr>
          <w:sz w:val="28"/>
          <w:szCs w:val="28"/>
        </w:rPr>
        <w:t xml:space="preserve"> метода, в котором вместо ножа Фуко </w:t>
      </w:r>
      <w:r w:rsidR="00A93835">
        <w:rPr>
          <w:sz w:val="28"/>
          <w:szCs w:val="28"/>
        </w:rPr>
        <w:t>для большей информативности используется цветообразующий элеме</w:t>
      </w:r>
      <w:r w:rsidR="0054487E">
        <w:rPr>
          <w:sz w:val="28"/>
          <w:szCs w:val="28"/>
        </w:rPr>
        <w:t xml:space="preserve">нт. Обычно используется визуализирующая диафрагма, сделанная из набора цветных </w:t>
      </w:r>
      <w:r w:rsidR="00C17EEB">
        <w:rPr>
          <w:sz w:val="28"/>
          <w:szCs w:val="28"/>
        </w:rPr>
        <w:t>фильтров</w:t>
      </w:r>
      <w:r w:rsidR="0054487E">
        <w:rPr>
          <w:sz w:val="28"/>
          <w:szCs w:val="28"/>
        </w:rPr>
        <w:t>.</w:t>
      </w:r>
    </w:p>
    <w:p w:rsidR="00C17EEB" w:rsidRDefault="00C17EEB" w:rsidP="0062077A">
      <w:pPr>
        <w:rPr>
          <w:sz w:val="28"/>
          <w:szCs w:val="28"/>
        </w:rPr>
      </w:pPr>
    </w:p>
    <w:p w:rsidR="0054487E" w:rsidRDefault="0054487E" w:rsidP="0062077A">
      <w:pPr>
        <w:rPr>
          <w:sz w:val="28"/>
          <w:szCs w:val="28"/>
        </w:rPr>
      </w:pPr>
    </w:p>
    <w:p w:rsidR="00D307C0" w:rsidRDefault="000B376E" w:rsidP="006207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Оптическая схема данного метода представлена на схеме ниже</w:t>
      </w:r>
      <w:r w:rsidR="005C56EC">
        <w:rPr>
          <w:sz w:val="28"/>
          <w:szCs w:val="28"/>
        </w:rPr>
        <w:t xml:space="preserve"> (Рис. 2)</w:t>
      </w:r>
      <w:r>
        <w:rPr>
          <w:sz w:val="28"/>
          <w:szCs w:val="28"/>
        </w:rPr>
        <w:t>:</w:t>
      </w:r>
    </w:p>
    <w:p w:rsidR="000B376E" w:rsidRDefault="00C17EEB" w:rsidP="00711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20587" cy="2257740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EB" w:rsidRPr="00C17EEB" w:rsidRDefault="00C17EEB" w:rsidP="00C17EEB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1 – и</w:t>
      </w:r>
      <w:r w:rsidRPr="00C17EEB">
        <w:rPr>
          <w:sz w:val="28"/>
          <w:szCs w:val="28"/>
        </w:rPr>
        <w:t xml:space="preserve">сточник света, 2 </w:t>
      </w:r>
      <w:r>
        <w:rPr>
          <w:sz w:val="28"/>
          <w:szCs w:val="28"/>
        </w:rPr>
        <w:t>– формирующая линза, 3 – задающая диафрагма, 4 –объектив задающего коллиматора, 5 – исследуемый объект, 6 – объектив принимающего коллиматора, 7 – визуализирующая диафрагма, 8 – проекционный объектив, 9 – приемник изображения.</w:t>
      </w:r>
    </w:p>
    <w:p w:rsidR="00711486" w:rsidRDefault="00711486" w:rsidP="0071148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C17EEB">
        <w:rPr>
          <w:sz w:val="28"/>
          <w:szCs w:val="28"/>
        </w:rPr>
        <w:t xml:space="preserve"> </w:t>
      </w:r>
    </w:p>
    <w:p w:rsidR="00C17EEB" w:rsidRPr="00C17EEB" w:rsidRDefault="00C17EEB" w:rsidP="00C17EEB">
      <w:pPr>
        <w:rPr>
          <w:sz w:val="28"/>
          <w:szCs w:val="28"/>
        </w:rPr>
      </w:pPr>
      <w:r>
        <w:rPr>
          <w:sz w:val="28"/>
          <w:szCs w:val="28"/>
        </w:rPr>
        <w:t xml:space="preserve">При появлении неоднородностей в объекте происходит смещение изображения задающей диафрагмы относительно визуализирующей диафрагмы со светофильтрами. Из-за этого на изображении объекта появляется свет, </w:t>
      </w:r>
      <w:r w:rsidRPr="00C17EEB">
        <w:rPr>
          <w:sz w:val="28"/>
          <w:szCs w:val="28"/>
        </w:rPr>
        <w:t>цветовой тон и интенсивность котор</w:t>
      </w:r>
      <w:r>
        <w:rPr>
          <w:sz w:val="28"/>
          <w:szCs w:val="28"/>
        </w:rPr>
        <w:t>ого определяются сочетанием площ</w:t>
      </w:r>
      <w:r w:rsidRPr="00C17EEB">
        <w:rPr>
          <w:sz w:val="28"/>
          <w:szCs w:val="28"/>
        </w:rPr>
        <w:t>адей зон пересечения изображения задающей диафрагмы со светофильтрами визуализирующей диафрагмы</w:t>
      </w:r>
      <w:r>
        <w:rPr>
          <w:sz w:val="28"/>
          <w:szCs w:val="28"/>
        </w:rPr>
        <w:t>.</w:t>
      </w:r>
    </w:p>
    <w:p w:rsidR="002F0A88" w:rsidRDefault="002F0A88" w:rsidP="0062077A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этого метода можно зафиксировать </w:t>
      </w:r>
      <w:r w:rsidR="00E014C1">
        <w:rPr>
          <w:sz w:val="28"/>
          <w:szCs w:val="28"/>
        </w:rPr>
        <w:t>изменение оптических неоднородностей</w:t>
      </w:r>
      <w:r>
        <w:rPr>
          <w:sz w:val="28"/>
          <w:szCs w:val="28"/>
        </w:rPr>
        <w:t xml:space="preserve"> в прозрачной среде.</w:t>
      </w:r>
      <w:r w:rsidR="00C17EEB">
        <w:rPr>
          <w:sz w:val="28"/>
          <w:szCs w:val="28"/>
        </w:rPr>
        <w:t xml:space="preserve"> Применение данного метода увеличивает информативность фотоизображения по сравнению со стандартным </w:t>
      </w:r>
      <w:proofErr w:type="spellStart"/>
      <w:r w:rsidR="00C17EEB">
        <w:rPr>
          <w:sz w:val="28"/>
          <w:szCs w:val="28"/>
        </w:rPr>
        <w:t>шлирен</w:t>
      </w:r>
      <w:proofErr w:type="spellEnd"/>
      <w:r w:rsidR="00C17EEB">
        <w:rPr>
          <w:sz w:val="28"/>
          <w:szCs w:val="28"/>
        </w:rPr>
        <w:t xml:space="preserve"> методом.</w:t>
      </w:r>
    </w:p>
    <w:p w:rsidR="00341FCE" w:rsidRDefault="00341F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F0A88" w:rsidRDefault="002F0A88" w:rsidP="0062077A">
      <w:pPr>
        <w:rPr>
          <w:sz w:val="28"/>
          <w:szCs w:val="28"/>
        </w:rPr>
      </w:pPr>
      <w:bookmarkStart w:id="0" w:name="_GoBack"/>
      <w:bookmarkEnd w:id="0"/>
    </w:p>
    <w:p w:rsidR="002F0A88" w:rsidRDefault="002F0A88" w:rsidP="0062077A">
      <w:pPr>
        <w:rPr>
          <w:sz w:val="28"/>
          <w:szCs w:val="28"/>
        </w:rPr>
      </w:pPr>
      <w:r>
        <w:rPr>
          <w:sz w:val="28"/>
          <w:szCs w:val="28"/>
        </w:rPr>
        <w:t>Вопрос 4.</w:t>
      </w:r>
    </w:p>
    <w:p w:rsidR="00463555" w:rsidRDefault="00463555" w:rsidP="00711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E7692F8">
            <wp:extent cx="4024557" cy="1787857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58" cy="1803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1486" w:rsidRDefault="00711486" w:rsidP="0071148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</w:p>
    <w:p w:rsidR="00A93835" w:rsidRDefault="00711486" w:rsidP="0062077A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C56EC">
        <w:rPr>
          <w:sz w:val="28"/>
          <w:szCs w:val="28"/>
        </w:rPr>
        <w:t xml:space="preserve">Рис.3 представлены фотоизображения обтекания сверхзвуковым потоком </w:t>
      </w:r>
      <w:r w:rsidR="008F506B">
        <w:rPr>
          <w:sz w:val="28"/>
          <w:szCs w:val="28"/>
        </w:rPr>
        <w:t>конуса</w:t>
      </w:r>
      <w:r w:rsidR="005C56EC">
        <w:rPr>
          <w:sz w:val="28"/>
          <w:szCs w:val="28"/>
        </w:rPr>
        <w:t xml:space="preserve"> (слева направо). На Рис.3-1 </w:t>
      </w:r>
      <w:proofErr w:type="spellStart"/>
      <w:r w:rsidR="005C56EC">
        <w:rPr>
          <w:sz w:val="28"/>
          <w:szCs w:val="28"/>
        </w:rPr>
        <w:t>интерферограмма</w:t>
      </w:r>
      <w:proofErr w:type="spellEnd"/>
      <w:r w:rsidR="005C56EC">
        <w:rPr>
          <w:sz w:val="28"/>
          <w:szCs w:val="28"/>
        </w:rPr>
        <w:t xml:space="preserve"> среды, на Рис.3-2 фотоизображение, полученное с помощью ц</w:t>
      </w:r>
      <w:r w:rsidR="008F506B">
        <w:rPr>
          <w:sz w:val="28"/>
          <w:szCs w:val="28"/>
        </w:rPr>
        <w:t xml:space="preserve">ветного теневого метода. </w:t>
      </w:r>
    </w:p>
    <w:p w:rsidR="00A93835" w:rsidRDefault="00A93835" w:rsidP="0062077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Интерферограмма</w:t>
      </w:r>
      <w:proofErr w:type="spellEnd"/>
      <w:r>
        <w:rPr>
          <w:sz w:val="28"/>
          <w:szCs w:val="28"/>
        </w:rPr>
        <w:t xml:space="preserve"> получается за счет регистрации р</w:t>
      </w:r>
      <w:r w:rsidR="00341FCE">
        <w:rPr>
          <w:sz w:val="28"/>
          <w:szCs w:val="28"/>
        </w:rPr>
        <w:t>азности двух фаз (опорной и зон</w:t>
      </w:r>
      <w:r>
        <w:rPr>
          <w:sz w:val="28"/>
          <w:szCs w:val="28"/>
        </w:rPr>
        <w:t xml:space="preserve">дирующей). </w:t>
      </w:r>
    </w:p>
    <w:p w:rsidR="00711486" w:rsidRDefault="008F506B" w:rsidP="0062077A">
      <w:pPr>
        <w:rPr>
          <w:sz w:val="28"/>
          <w:szCs w:val="28"/>
        </w:rPr>
      </w:pPr>
      <w:r>
        <w:rPr>
          <w:sz w:val="28"/>
          <w:szCs w:val="28"/>
        </w:rPr>
        <w:t>На вершине</w:t>
      </w:r>
      <w:r w:rsidR="005C56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конуса </w:t>
      </w:r>
      <w:r w:rsidR="005C56EC">
        <w:rPr>
          <w:sz w:val="28"/>
          <w:szCs w:val="28"/>
        </w:rPr>
        <w:t xml:space="preserve">наблюдается установившаяся ударная волна, за кромками стрелы по </w:t>
      </w:r>
      <w:proofErr w:type="spellStart"/>
      <w:r w:rsidR="005C56EC">
        <w:rPr>
          <w:sz w:val="28"/>
          <w:szCs w:val="28"/>
        </w:rPr>
        <w:t>интерферограмме</w:t>
      </w:r>
      <w:proofErr w:type="spellEnd"/>
      <w:r w:rsidR="005C56EC">
        <w:rPr>
          <w:sz w:val="28"/>
          <w:szCs w:val="28"/>
        </w:rPr>
        <w:t xml:space="preserve"> можно установить вихревое т</w:t>
      </w:r>
      <w:r w:rsidR="00341FCE">
        <w:rPr>
          <w:sz w:val="28"/>
          <w:szCs w:val="28"/>
        </w:rPr>
        <w:t>ечение. Также, начиная от основания конуса</w:t>
      </w:r>
      <w:r w:rsidR="005C56EC">
        <w:rPr>
          <w:sz w:val="28"/>
          <w:szCs w:val="28"/>
        </w:rPr>
        <w:t xml:space="preserve">, с помощью цветного теневого метода можно выделить скачки уплотнения.  </w:t>
      </w:r>
      <w:r w:rsidR="00711486">
        <w:rPr>
          <w:sz w:val="28"/>
          <w:szCs w:val="28"/>
        </w:rPr>
        <w:t xml:space="preserve"> </w:t>
      </w:r>
    </w:p>
    <w:p w:rsidR="00A56EBA" w:rsidRDefault="00A56EBA" w:rsidP="0062077A">
      <w:pPr>
        <w:rPr>
          <w:sz w:val="28"/>
          <w:szCs w:val="28"/>
        </w:rPr>
      </w:pPr>
      <w:r>
        <w:rPr>
          <w:sz w:val="28"/>
          <w:szCs w:val="28"/>
        </w:rPr>
        <w:t>Поток является сверхзвуковым, трехмерным, квазистационарным, однофазным и вязким.</w:t>
      </w:r>
    </w:p>
    <w:p w:rsidR="00463555" w:rsidRDefault="00463555" w:rsidP="0062077A">
      <w:pPr>
        <w:rPr>
          <w:sz w:val="28"/>
          <w:szCs w:val="28"/>
        </w:rPr>
      </w:pPr>
    </w:p>
    <w:p w:rsidR="002F0A88" w:rsidRPr="00B35C0F" w:rsidRDefault="002F0A88" w:rsidP="0062077A">
      <w:pPr>
        <w:rPr>
          <w:sz w:val="28"/>
          <w:szCs w:val="28"/>
        </w:rPr>
      </w:pPr>
    </w:p>
    <w:sectPr w:rsidR="002F0A88" w:rsidRPr="00B35C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161A1"/>
    <w:multiLevelType w:val="hybridMultilevel"/>
    <w:tmpl w:val="44B2F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C564E3"/>
    <w:multiLevelType w:val="hybridMultilevel"/>
    <w:tmpl w:val="28B8789C"/>
    <w:lvl w:ilvl="0" w:tplc="36860D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DCA"/>
    <w:rsid w:val="00075B04"/>
    <w:rsid w:val="000B376E"/>
    <w:rsid w:val="001A20F6"/>
    <w:rsid w:val="002F0A88"/>
    <w:rsid w:val="00313386"/>
    <w:rsid w:val="00341FCE"/>
    <w:rsid w:val="00463555"/>
    <w:rsid w:val="004E3BA4"/>
    <w:rsid w:val="0054487E"/>
    <w:rsid w:val="005C56EC"/>
    <w:rsid w:val="0062077A"/>
    <w:rsid w:val="00711486"/>
    <w:rsid w:val="00881DCA"/>
    <w:rsid w:val="008F506B"/>
    <w:rsid w:val="00A56EBA"/>
    <w:rsid w:val="00A93835"/>
    <w:rsid w:val="00B35C0F"/>
    <w:rsid w:val="00C17EEB"/>
    <w:rsid w:val="00C7531C"/>
    <w:rsid w:val="00D07EE7"/>
    <w:rsid w:val="00D307C0"/>
    <w:rsid w:val="00E014C1"/>
    <w:rsid w:val="00EB24D1"/>
    <w:rsid w:val="00F0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E8324"/>
  <w15:chartTrackingRefBased/>
  <w15:docId w15:val="{A5706B8E-2C7B-4EE3-8D76-FC3848F2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077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41FC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12</cp:revision>
  <cp:lastPrinted>2020-03-18T19:52:00Z</cp:lastPrinted>
  <dcterms:created xsi:type="dcterms:W3CDTF">2020-03-17T16:17:00Z</dcterms:created>
  <dcterms:modified xsi:type="dcterms:W3CDTF">2020-03-19T17:13:00Z</dcterms:modified>
</cp:coreProperties>
</file>