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after="120"/>
      </w:pPr>
      <w:r>
        <w:t xml:space="preserve">Tirhut Wing Trust</w:t>
      </w:r>
    </w:p>
    <w:p>
      <w:pPr>
        <w:pStyle w:val="Subtitle"/>
        <w:spacing w:after="120"/>
      </w:pPr>
      <w:r>
        <w:t xml:space="preserve">Terms and Conditions of Membership — DRAFT v0.1</w:t>
      </w:r>
    </w:p>
    <w:p>
      <w:pPr>
        <w:pStyle w:val="Subtitle"/>
        <w:spacing w:after="120"/>
      </w:pPr>
      <w:r>
        <w:t xml:space="preserve">Submitted for legal review  |  24 August 2026  |  NOT FOR PUBLICATION</w:t>
      </w:r>
    </w:p>
    <w:p>
      <w:pPr>
        <w:spacing w:after="120"/>
      </w:pPr>
      <w:r>
        <w:t/>
      </w:r>
    </w:p>
    <w:p>
      <w:pPr>
        <w:spacing w:after="120"/>
      </w:pPr>
      <w:r>
        <w:rPr>
          <w:b/>
        </w:rPr>
        <w:t xml:space="preserve">This is an unreviewed first draft prepared for counsel.</w:t>
      </w:r>
      <w:r>
        <w:t xml:space="preserve"> It has not been adopted, published, or shown to any member. It is the priority-1 artefact under the review-scope charter. Passages marked [TO SUPPLY] are gaps the trust must fill; passages marked [FOR COUNSEL] are specific questions put to counsel.</w:t>
      </w:r>
    </w:p>
    <w:p>
      <w:pPr>
        <w:spacing w:after="120"/>
      </w:pPr>
      <w:r>
        <w:rPr>
          <w:b/>
        </w:rPr>
        <w:t xml:space="preserve">Provenance.</w:t>
      </w:r>
      <w:r>
        <w:t xml:space="preserve"> Every substantive clause below is assembled from requirements the trust has already committed to in its product requirements document. The italicised phrasings in clauses 3, 4, 10, 11 and 12 are </w:t>
      </w:r>
      <w:r>
        <w:rPr>
          <w:b/>
        </w:rPr>
        <w:t xml:space="preserve">required verbatim</w:t>
      </w:r>
      <w:r>
        <w:t xml:space="preserve"> by requirement FR-94 and must survive review in that form unless counsel advises otherwise — several are inherited from the precedent trust, TSCT. Nothing here is invented drafting.</w:t>
      </w:r>
    </w:p>
    <w:p>
      <w:pPr>
        <w:pStyle w:val="Heading1"/>
        <w:spacing w:after="160"/>
      </w:pPr>
      <w:r>
        <w:t xml:space="preserve">Preamble</w:t>
      </w:r>
    </w:p>
    <w:p>
      <w:pPr>
        <w:spacing w:after="120"/>
      </w:pPr>
      <w:r>
        <w:rPr>
          <w:i/>
        </w:rPr>
        <w:t xml:space="preserve">"Today's support becomes tomorrow's strength — आज का सहयोग कल का सहारा."</w:t>
      </w:r>
    </w:p>
    <w:p>
      <w:pPr>
        <w:spacing w:after="120"/>
      </w:pPr>
      <w:r>
        <w:t xml:space="preserve">Tirhut Wing Trust ("the Trust") facilitates mutual aid among its members. These terms govern membership. By registering, you accept them.</w:t>
      </w:r>
    </w:p>
    <w:p>
      <w:pPr>
        <w:spacing w:after="120"/>
      </w:pPr>
      <w:r>
        <w:t xml:space="preserve">Trust registration particulars, registered address, and the registration numbers required by law: [TO SUPPLY — Indian Trust Act registration, 12A/12AB, GST where applicable]</w:t>
      </w:r>
    </w:p>
    <w:p>
      <w:pPr>
        <w:pStyle w:val="Heading1"/>
        <w:spacing w:after="160"/>
      </w:pPr>
      <w:r>
        <w:t xml:space="preserve">1. Definitions</w:t>
      </w:r>
    </w:p>
    <w:p>
      <w:pPr>
        <w:pStyle w:val="ListParagraph"/>
        <w:numPr>
          <w:ilvl w:val="0"/>
          <w:numId w:val="1"/>
        </w:numPr>
        <w:spacing w:after="60"/>
      </w:pPr>
      <w:r>
        <w:rPr>
          <w:b/>
        </w:rPr>
        <w:t xml:space="preserve">Member</w:t>
      </w:r>
      <w:r>
        <w:t xml:space="preserve"> — a person whose registration the Trust has accepted and who is not suspended or terminated.</w:t>
      </w:r>
    </w:p>
    <w:p>
      <w:pPr>
        <w:pStyle w:val="ListParagraph"/>
        <w:numPr>
          <w:ilvl w:val="0"/>
          <w:numId w:val="1"/>
        </w:numPr>
        <w:spacing w:after="60"/>
      </w:pPr>
      <w:r>
        <w:rPr>
          <w:b/>
        </w:rPr>
        <w:t xml:space="preserve">Pariwar</w:t>
      </w:r>
      <w:r>
        <w:t xml:space="preserve"> — the local unit within which a member is enrolled.</w:t>
      </w:r>
    </w:p>
    <w:p>
      <w:pPr>
        <w:pStyle w:val="ListParagraph"/>
        <w:numPr>
          <w:ilvl w:val="0"/>
          <w:numId w:val="1"/>
        </w:numPr>
        <w:spacing w:after="60"/>
      </w:pPr>
      <w:r>
        <w:rPr>
          <w:b/>
        </w:rPr>
        <w:t xml:space="preserve">Vyawastha Shulk</w:t>
      </w:r>
      <w:r>
        <w:t xml:space="preserve"> — the one-time administrative fee of Rs 110 payable at registration.</w:t>
      </w:r>
    </w:p>
    <w:p>
      <w:pPr>
        <w:pStyle w:val="ListParagraph"/>
        <w:numPr>
          <w:ilvl w:val="0"/>
          <w:numId w:val="1"/>
        </w:numPr>
        <w:spacing w:after="60"/>
      </w:pPr>
      <w:r>
        <w:rPr>
          <w:b/>
        </w:rPr>
        <w:t xml:space="preserve">Contribution</w:t>
      </w:r>
      <w:r>
        <w:t xml:space="preserve"> — a payment a member makes directly to a nominee of a deceased member, at the Trust's facilitation.</w:t>
      </w:r>
    </w:p>
    <w:p>
      <w:pPr>
        <w:pStyle w:val="ListParagraph"/>
        <w:numPr>
          <w:ilvl w:val="0"/>
          <w:numId w:val="1"/>
        </w:numPr>
        <w:spacing w:after="60"/>
      </w:pPr>
      <w:r>
        <w:rPr>
          <w:b/>
        </w:rPr>
        <w:t xml:space="preserve">Niyamavali</w:t>
      </w:r>
      <w:r>
        <w:t xml:space="preserve"> — the Trust's rulebook, as amended from time to time. These terms are tied to a specific version of it.</w:t>
      </w:r>
    </w:p>
    <w:p>
      <w:pPr>
        <w:pStyle w:val="Heading1"/>
        <w:spacing w:after="160"/>
      </w:pPr>
      <w:r>
        <w:t xml:space="preserve">2. What the Trust is, and what it is not</w:t>
      </w:r>
    </w:p>
    <w:p>
      <w:pPr>
        <w:spacing w:after="120"/>
      </w:pPr>
      <w:r>
        <w:rPr>
          <w:i/>
        </w:rPr>
        <w:t xml:space="preserve">"Facilitator, not financial intermediary, not guarantor."</w:t>
      </w:r>
    </w:p>
    <w:p>
      <w:pPr>
        <w:spacing w:after="120"/>
      </w:pPr>
      <w:r>
        <w:t xml:space="preserve">The Trust introduces members to one another and routes information. </w:t>
      </w:r>
      <w:r>
        <w:rPr>
          <w:b/>
        </w:rPr>
        <w:t xml:space="preserve">It does not hold, receive, or disburse contribution money.</w:t>
      </w:r>
      <w:r>
        <w:t xml:space="preserve"> Contributions travel directly from the contributing member to the nominee. The Trust is not a party to that payment.</w:t>
      </w:r>
    </w:p>
    <w:p>
      <w:pPr>
        <w:spacing w:after="120"/>
      </w:pPr>
      <w:r>
        <w:rPr>
          <w:i/>
        </w:rPr>
        <w:t xml:space="preserve">"Commitment is purely ethical."</w:t>
      </w:r>
    </w:p>
    <w:p>
      <w:pPr>
        <w:spacing w:after="120"/>
      </w:pPr>
      <w:r>
        <w:t xml:space="preserve">[FOR COUNSEL] The Trust does hold the Rs 110 fee, and that fee is mandatory. The Trust's own analysis is that this creates consideration and makes the member–Trust relationship an enforceable contract, notwithstanding the ethical framing of the contribution obligation. Please confirm or correct that reading, and advise whether the two statements above can sit together as drafted.</w:t>
      </w:r>
    </w:p>
    <w:p>
      <w:pPr>
        <w:pStyle w:val="Heading1"/>
        <w:spacing w:after="160"/>
      </w:pPr>
      <w:r>
        <w:t xml:space="preserve">3. Membership</w:t>
      </w:r>
    </w:p>
    <w:p>
      <w:pPr>
        <w:spacing w:after="120"/>
      </w:pPr>
      <w:r>
        <w:rPr>
          <w:i/>
        </w:rPr>
        <w:t xml:space="preserve">"Registration alone does not constitute legal membership."</w:t>
      </w:r>
    </w:p>
    <w:p>
      <w:pPr>
        <w:spacing w:after="120"/>
      </w:pPr>
      <w:r>
        <w:t xml:space="preserve">Registration begins a process. Membership follows acceptance by the Trust and payment of the Vyawastha Shulk. The Trust may decline a registration.</w:t>
      </w:r>
    </w:p>
    <w:p>
      <w:pPr>
        <w:pStyle w:val="Heading1"/>
        <w:spacing w:after="160"/>
      </w:pPr>
      <w:r>
        <w:t xml:space="preserve">4. The fee, and withdrawal</w:t>
      </w:r>
    </w:p>
    <w:p>
      <w:pPr>
        <w:spacing w:after="120"/>
      </w:pPr>
      <w:r>
        <w:t xml:space="preserve">The Vyawastha Shulk of Rs 110 is payable once, at registration, and is </w:t>
      </w:r>
      <w:r>
        <w:rPr>
          <w:b/>
        </w:rPr>
        <w:t xml:space="preserve">not refundable</w:t>
      </w:r>
      <w:r>
        <w:t xml:space="preserve">. A member who withdraws voluntarily forfeits it. No part of it is returned on withdrawal, suspension, or termination.</w:t>
      </w:r>
    </w:p>
    <w:p>
      <w:pPr>
        <w:spacing w:after="120"/>
      </w:pPr>
      <w:r>
        <w:t xml:space="preserve">[FOR COUNSEL] Please advise on the enforceability of a non-refundable mandatory fee under the Consumer Protection Act 2019, and on what disclosure at the point of payment is required.</w:t>
      </w:r>
    </w:p>
    <w:p>
      <w:pPr>
        <w:pStyle w:val="Heading1"/>
        <w:spacing w:after="160"/>
      </w:pPr>
      <w:r>
        <w:t xml:space="preserve">5. Contributions</w:t>
      </w:r>
    </w:p>
    <w:p>
      <w:pPr>
        <w:spacing w:after="120"/>
      </w:pPr>
      <w:r>
        <w:t xml:space="preserve">When a member of your Pariwar dies, you may be asked to contribute to that member's nominee. The Trust will tell you whom to pay and how much. </w:t>
      </w:r>
      <w:r>
        <w:rPr>
          <w:b/>
        </w:rPr>
        <w:t xml:space="preserve">You pay the nominee directly.</w:t>
      </w:r>
    </w:p>
    <w:p>
      <w:pPr>
        <w:spacing w:after="120"/>
      </w:pPr>
      <w:r>
        <w:t xml:space="preserve">The Trust records that you have contributed. It issues a </w:t>
      </w:r>
      <w:r>
        <w:rPr>
          <w:b/>
        </w:rPr>
        <w:t xml:space="preserve">Contribution Note</w:t>
      </w:r>
      <w:r>
        <w:t xml:space="preserve"> as the record of that fact.</w:t>
      </w:r>
    </w:p>
    <w:p>
      <w:pPr>
        <w:pStyle w:val="Heading1"/>
        <w:spacing w:after="160"/>
      </w:pPr>
      <w:r>
        <w:t xml:space="preserve">6. Contribution Notes are not receipts</w:t>
      </w:r>
    </w:p>
    <w:p>
      <w:pPr>
        <w:spacing w:after="120"/>
      </w:pPr>
      <w:r>
        <w:t xml:space="preserve">A Contribution Note records that a contribution was made. It is </w:t>
      </w:r>
      <w:r>
        <w:rPr>
          <w:b/>
        </w:rPr>
        <w:t xml:space="preserve">not a receipt, and not an invoice</w:t>
      </w:r>
      <w:r>
        <w:t xml:space="preserve">, and must not be described or relied upon as either. The Trust did not receive your money; it is not in a position to receipt it.</w:t>
      </w:r>
    </w:p>
    <w:p>
      <w:pPr>
        <w:spacing w:after="120"/>
      </w:pPr>
      <w:r>
        <w:t xml:space="preserve">[FOR COUNSEL] This distinction carries tax and evidentiary consequences for the member. Please advise on the wording, and on whether any statutory notice must accompany the Note.</w:t>
      </w:r>
    </w:p>
    <w:p>
      <w:pPr>
        <w:pStyle w:val="Heading1"/>
        <w:spacing w:after="160"/>
      </w:pPr>
      <w:r>
        <w:t xml:space="preserve">7. When a cycle is under-funded</w:t>
      </w:r>
    </w:p>
    <w:p>
      <w:pPr>
        <w:spacing w:after="120"/>
      </w:pPr>
      <w:r>
        <w:t xml:space="preserve">If the contributions actually received for a nominee fall short of the indicative amount, </w:t>
      </w:r>
      <w:r>
        <w:rPr>
          <w:b/>
        </w:rPr>
        <w:t xml:space="preserve">the nominee receives what was actually contributed.</w:t>
      </w:r>
      <w:r>
        <w:t xml:space="preserve"> The Trust does not top up the difference, and does not undertake to. There is no guaranteed sum.</w:t>
      </w:r>
    </w:p>
    <w:p>
      <w:pPr>
        <w:pStyle w:val="Heading1"/>
        <w:spacing w:after="160"/>
      </w:pPr>
      <w:r>
        <w:t xml:space="preserve">8. Over-payment</w:t>
      </w:r>
    </w:p>
    <w:p>
      <w:pPr>
        <w:spacing w:after="120"/>
      </w:pPr>
      <w:r>
        <w:t xml:space="preserve">If you pay more than you were asked to, you may report it. The Trust will </w:t>
      </w:r>
      <w:r>
        <w:rPr>
          <w:b/>
        </w:rPr>
        <w:t xml:space="preserve">facilitate</w:t>
      </w:r>
      <w:r>
        <w:t xml:space="preserve"> recovery from the nominee by asking. </w:t>
      </w:r>
      <w:r>
        <w:rPr>
          <w:b/>
        </w:rPr>
        <w:t xml:space="preserve">It will not enforce recovery</w:t>
      </w:r>
      <w:r>
        <w:t xml:space="preserve">, and cannot compel repayment.</w:t>
      </w:r>
    </w:p>
    <w:p>
      <w:pPr>
        <w:pStyle w:val="Heading1"/>
        <w:spacing w:after="160"/>
      </w:pPr>
      <w:r>
        <w:t xml:space="preserve">9. Payment mismatches</w:t>
      </w:r>
    </w:p>
    <w:p>
      <w:pPr>
        <w:spacing w:after="120"/>
      </w:pPr>
      <w:r>
        <w:t xml:space="preserve">Where a payment reference does not reconcile, the Trust may ask you to upload a payment screenshot. This is requested </w:t>
      </w:r>
      <w:r>
        <w:rPr>
          <w:b/>
        </w:rPr>
        <w:t xml:space="preserve">only on mismatch</w:t>
      </w:r>
      <w:r>
        <w:t xml:space="preserve">, and not as a routine condition of contributing.</w:t>
      </w:r>
    </w:p>
    <w:p>
      <w:pPr>
        <w:pStyle w:val="Heading1"/>
        <w:spacing w:after="160"/>
      </w:pPr>
      <w:r>
        <w:t xml:space="preserve">10. Communications</w:t>
      </w:r>
    </w:p>
    <w:p>
      <w:pPr>
        <w:spacing w:after="120"/>
      </w:pPr>
      <w:r>
        <w:rPr>
          <w:i/>
        </w:rPr>
        <w:t xml:space="preserve">"Missed information is the member's responsibility — official communications are delivered via the channels listed in this clause."</w:t>
      </w:r>
    </w:p>
    <w:p>
      <w:pPr>
        <w:spacing w:after="120"/>
      </w:pPr>
      <w:r>
        <w:t xml:space="preserve">The </w:t>
      </w:r>
      <w:r>
        <w:rPr>
          <w:b/>
        </w:rPr>
        <w:t xml:space="preserve">official channel is the in-app surface.</w:t>
      </w:r>
      <w:r>
        <w:t xml:space="preserve"> Telegram and WhatsApp Business are mirrors offered for convenience and are not official. It is the member's responsibility to check the in-app surface.</w:t>
      </w:r>
    </w:p>
    <w:p>
      <w:pPr>
        <w:pStyle w:val="Heading1"/>
        <w:spacing w:after="160"/>
      </w:pPr>
      <w:r>
        <w:t xml:space="preserve">11. Disqualification from office</w:t>
      </w:r>
    </w:p>
    <w:p>
      <w:pPr>
        <w:spacing w:after="120"/>
      </w:pPr>
      <w:r>
        <w:rPr>
          <w:i/>
        </w:rPr>
        <w:t xml:space="preserve">"A member holding an office-bearer position in a parallel teacher organization is disqualified for the duration of that role. Membership in a parallel teacher organization is permitted; office-bearing is not."</w:t>
      </w:r>
    </w:p>
    <w:p>
      <w:pPr>
        <w:pStyle w:val="Heading1"/>
        <w:spacing w:after="160"/>
      </w:pPr>
      <w:r>
        <w:t xml:space="preserve">12. Grievances</w:t>
      </w:r>
    </w:p>
    <w:p>
      <w:pPr>
        <w:spacing w:after="120"/>
      </w:pPr>
      <w:r>
        <w:rPr>
          <w:i/>
        </w:rPr>
        <w:t xml:space="preserve">"Internal resolution via the appeal flow is the primary path for grievance; judicial challenge is not contractually barred, but core-team discretion is preserved."</w:t>
      </w:r>
    </w:p>
    <w:p>
      <w:pPr>
        <w:spacing w:after="120"/>
      </w:pPr>
      <w:r>
        <w:t xml:space="preserve">A member whose claim is denied may appeal internally. The appeal is decided within the Trust. </w:t>
      </w:r>
      <w:r>
        <w:rPr>
          <w:b/>
        </w:rPr>
        <w:t xml:space="preserve">These terms do not purport to exclude the jurisdiction of any court.</w:t>
      </w:r>
    </w:p>
    <w:p>
      <w:pPr>
        <w:spacing w:after="120"/>
      </w:pPr>
      <w:r>
        <w:t xml:space="preserve">[FOR COUNSEL] The precedent trust's terms stated that no judicial challenge was permitted. The Trust has deliberately dropped that phrasing, on the view that Indian courts routinely set aside contractual ouster of jurisdiction and that the mandatory fee makes the relationship enforceable in any event. Please confirm that dropping it is correct, and that the substitute above is safe.</w:t>
      </w:r>
    </w:p>
    <w:p>
      <w:pPr>
        <w:pStyle w:val="Heading1"/>
        <w:spacing w:after="160"/>
      </w:pPr>
      <w:r>
        <w:t xml:space="preserve">13. Your data</w:t>
      </w:r>
    </w:p>
    <w:p>
      <w:pPr>
        <w:spacing w:after="120"/>
      </w:pPr>
      <w:r>
        <w:t xml:space="preserve">The Trust processes your personal data to operate the mutual-aid scheme. You may </w:t>
      </w:r>
      <w:r>
        <w:rPr>
          <w:b/>
        </w:rPr>
        <w:t xml:space="preserve">export your data</w:t>
      </w:r>
      <w:r>
        <w:t xml:space="preserve">, and you may </w:t>
      </w:r>
      <w:r>
        <w:rPr>
          <w:b/>
        </w:rPr>
        <w:t xml:space="preserve">ask to be forgotten</w:t>
      </w:r>
      <w:r>
        <w:t xml:space="preserve"> — on which the Trust soft-deletes your profile and anonymises your past contributions. </w:t>
      </w:r>
      <w:r>
        <w:rPr>
          <w:b/>
        </w:rPr>
        <w:t xml:space="preserve">No fee is refunded</w:t>
      </w:r>
      <w:r>
        <w:t xml:space="preserve"> on erasure.</w:t>
      </w:r>
    </w:p>
    <w:p>
      <w:pPr>
        <w:spacing w:after="120"/>
      </w:pPr>
      <w:r>
        <w:t xml:space="preserve">Consent for each distinct publication of your information is recorded separately.</w:t>
      </w:r>
    </w:p>
    <w:p>
      <w:pPr>
        <w:spacing w:after="120"/>
      </w:pPr>
      <w:r>
        <w:t xml:space="preserve">[FOR COUNSEL] This is scope item (b) of the charter — the consent-flow design — and is reviewed separately. This clause states only what the terms must say; the flow itself is a separate submission.</w:t>
      </w:r>
    </w:p>
    <w:p>
      <w:pPr>
        <w:pStyle w:val="Heading1"/>
        <w:spacing w:after="160"/>
      </w:pPr>
      <w:r>
        <w:t xml:space="preserve">14. The Trust's ledger</w:t>
      </w:r>
    </w:p>
    <w:p>
      <w:pPr>
        <w:spacing w:after="120"/>
      </w:pPr>
      <w:r>
        <w:t xml:space="preserve">The Trust's internal financial ledger is </w:t>
      </w:r>
      <w:r>
        <w:rPr>
          <w:b/>
        </w:rPr>
        <w:t xml:space="preserve">not published</w:t>
      </w:r>
      <w:r>
        <w:t xml:space="preserve">. Members receive information about their own contributions and their own Pariwar's cycles.</w:t>
      </w:r>
    </w:p>
    <w:p>
      <w:pPr>
        <w:pStyle w:val="Heading1"/>
        <w:spacing w:after="160"/>
      </w:pPr>
      <w:r>
        <w:t xml:space="preserve">15. Amendment</w:t>
      </w:r>
    </w:p>
    <w:p>
      <w:pPr>
        <w:spacing w:after="120"/>
      </w:pPr>
      <w:r>
        <w:t xml:space="preserve">These terms are tied to a version of the Niyamavali. When either changes, a new version is issued and members are asked to accept it. </w:t>
      </w:r>
      <w:r>
        <w:rPr>
          <w:b/>
        </w:rPr>
        <w:t xml:space="preserve">Every version is retained</w:t>
      </w:r>
      <w:r>
        <w:t xml:space="preserve">, and the Trust can recover which version any member accepted, and when.</w:t>
      </w:r>
    </w:p>
    <w:p>
      <w:pPr>
        <w:pStyle w:val="Heading1"/>
        <w:spacing w:after="160"/>
      </w:pPr>
      <w:r>
        <w:t xml:space="preserve">16. Governing law and jurisdiction</w:t>
      </w:r>
    </w:p>
    <w:p>
      <w:pPr>
        <w:spacing w:after="120"/>
      </w:pPr>
      <w:r>
        <w:t xml:space="preserve">[TO SUPPLY — governing law, seat, and dispute-resolution mechanism. The Trust is Bihar-registered; counsel to advise.]</w:t>
      </w:r>
    </w:p>
    <w:p>
      <w:pPr>
        <w:pStyle w:val="Heading1"/>
        <w:spacing w:after="160"/>
      </w:pPr>
      <w:r>
        <w:t xml:space="preserve">Annex — matters specifically referred to counsel</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w="500"/>
        <w:gridCol w:w="1000"/>
        <w:gridCol w:w="7860"/>
      </w:tblGrid>
      <w:tr>
        <w:trPr>
          <w:tblHeader/>
        </w:trPr>
        <w:tc>
          <w:tcPr>
            <w:tcW w:w="500" w:type="dxa"/>
            <w:shd w:val="clear" w:fill="EDEDED"/>
          </w:tcPr>
          <w:p>
            <w:pPr>
              <w:spacing w:after="40"/>
            </w:pPr>
            <w:r>
              <w:t xml:space="preserve">#</w:t>
            </w:r>
          </w:p>
        </w:tc>
        <w:tc>
          <w:tcPr>
            <w:tcW w:w="1000" w:type="dxa"/>
            <w:shd w:val="clear" w:fill="EDEDED"/>
          </w:tcPr>
          <w:p>
            <w:pPr>
              <w:spacing w:after="40"/>
            </w:pPr>
            <w:r>
              <w:t xml:space="preserve">Clause</w:t>
            </w:r>
          </w:p>
        </w:tc>
        <w:tc>
          <w:tcPr>
            <w:tcW w:w="7860" w:type="dxa"/>
            <w:shd w:val="clear" w:fill="EDEDED"/>
          </w:tcPr>
          <w:p>
            <w:pPr>
              <w:spacing w:after="40"/>
            </w:pPr>
            <w:r>
              <w:t xml:space="preserve">Question</w:t>
            </w:r>
          </w:p>
        </w:tc>
      </w:tr>
      <w:tr>
        <w:tc>
          <w:tcPr>
            <w:tcW w:w="500" w:type="dxa"/>
          </w:tcPr>
          <w:p>
            <w:pPr>
              <w:spacing w:after="40"/>
            </w:pPr>
            <w:r>
              <w:t xml:space="preserve">1</w:t>
            </w:r>
          </w:p>
        </w:tc>
        <w:tc>
          <w:tcPr>
            <w:tcW w:w="1000" w:type="dxa"/>
          </w:tcPr>
          <w:p>
            <w:pPr>
              <w:spacing w:after="40"/>
            </w:pPr>
            <w:r>
              <w:t xml:space="preserve">2</w:t>
            </w:r>
          </w:p>
        </w:tc>
        <w:tc>
          <w:tcPr>
            <w:tcW w:w="7860" w:type="dxa"/>
          </w:tcPr>
          <w:p>
            <w:pPr>
              <w:spacing w:after="40"/>
            </w:pPr>
            <w:r>
              <w:t xml:space="preserve">Do the facilitator statement and the mandatory fee sit together? Is the enforceable-contract reading correct?</w:t>
            </w:r>
          </w:p>
        </w:tc>
      </w:tr>
      <w:tr>
        <w:tc>
          <w:tcPr>
            <w:tcW w:w="500" w:type="dxa"/>
          </w:tcPr>
          <w:p>
            <w:pPr>
              <w:spacing w:after="40"/>
            </w:pPr>
            <w:r>
              <w:t xml:space="preserve">2</w:t>
            </w:r>
          </w:p>
        </w:tc>
        <w:tc>
          <w:tcPr>
            <w:tcW w:w="1000" w:type="dxa"/>
          </w:tcPr>
          <w:p>
            <w:pPr>
              <w:spacing w:after="40"/>
            </w:pPr>
            <w:r>
              <w:t xml:space="preserve">4</w:t>
            </w:r>
          </w:p>
        </w:tc>
        <w:tc>
          <w:tcPr>
            <w:tcW w:w="7860" w:type="dxa"/>
          </w:tcPr>
          <w:p>
            <w:pPr>
              <w:spacing w:after="40"/>
            </w:pPr>
            <w:r>
              <w:t xml:space="preserve">Enforceability of a non-refundable mandatory fee under the Consumer Protection Act 2019; required disclosure.</w:t>
            </w:r>
          </w:p>
        </w:tc>
      </w:tr>
      <w:tr>
        <w:tc>
          <w:tcPr>
            <w:tcW w:w="500" w:type="dxa"/>
          </w:tcPr>
          <w:p>
            <w:pPr>
              <w:spacing w:after="40"/>
            </w:pPr>
            <w:r>
              <w:t xml:space="preserve">3</w:t>
            </w:r>
          </w:p>
        </w:tc>
        <w:tc>
          <w:tcPr>
            <w:tcW w:w="1000" w:type="dxa"/>
          </w:tcPr>
          <w:p>
            <w:pPr>
              <w:spacing w:after="40"/>
            </w:pPr>
            <w:r>
              <w:t xml:space="preserve">6</w:t>
            </w:r>
          </w:p>
        </w:tc>
        <w:tc>
          <w:tcPr>
            <w:tcW w:w="7860" w:type="dxa"/>
          </w:tcPr>
          <w:p>
            <w:pPr>
              <w:spacing w:after="40"/>
            </w:pPr>
            <w:r>
              <w:t xml:space="preserve">Tax and evidentiary consequences of a Contribution Note that is expressly not a receipt.</w:t>
            </w:r>
          </w:p>
        </w:tc>
      </w:tr>
      <w:tr>
        <w:tc>
          <w:tcPr>
            <w:tcW w:w="500" w:type="dxa"/>
          </w:tcPr>
          <w:p>
            <w:pPr>
              <w:spacing w:after="40"/>
            </w:pPr>
            <w:r>
              <w:t xml:space="preserve">4</w:t>
            </w:r>
          </w:p>
        </w:tc>
        <w:tc>
          <w:tcPr>
            <w:tcW w:w="1000" w:type="dxa"/>
          </w:tcPr>
          <w:p>
            <w:pPr>
              <w:spacing w:after="40"/>
            </w:pPr>
            <w:r>
              <w:t xml:space="preserve">12</w:t>
            </w:r>
          </w:p>
        </w:tc>
        <w:tc>
          <w:tcPr>
            <w:tcW w:w="7860" w:type="dxa"/>
          </w:tcPr>
          <w:p>
            <w:pPr>
              <w:spacing w:after="40"/>
            </w:pPr>
            <w:r>
              <w:t xml:space="preserve">Is dropping the no-judicial-challenge phrasing correct, and is the substitute safe?</w:t>
            </w:r>
          </w:p>
        </w:tc>
      </w:tr>
      <w:tr>
        <w:tc>
          <w:tcPr>
            <w:tcW w:w="500" w:type="dxa"/>
          </w:tcPr>
          <w:p>
            <w:pPr>
              <w:spacing w:after="40"/>
            </w:pPr>
            <w:r>
              <w:t xml:space="preserve">5</w:t>
            </w:r>
          </w:p>
        </w:tc>
        <w:tc>
          <w:tcPr>
            <w:tcW w:w="1000" w:type="dxa"/>
          </w:tcPr>
          <w:p>
            <w:pPr>
              <w:spacing w:after="40"/>
            </w:pPr>
            <w:r>
              <w:t xml:space="preserve">13</w:t>
            </w:r>
          </w:p>
        </w:tc>
        <w:tc>
          <w:tcPr>
            <w:tcW w:w="7860" w:type="dxa"/>
          </w:tcPr>
          <w:p>
            <w:pPr>
              <w:spacing w:after="40"/>
            </w:pPr>
            <w:r>
              <w:t xml:space="preserve">Interaction with the separate consent-flow submission.</w:t>
            </w:r>
          </w:p>
        </w:tc>
      </w:tr>
      <w:tr>
        <w:tc>
          <w:tcPr>
            <w:tcW w:w="500" w:type="dxa"/>
          </w:tcPr>
          <w:p>
            <w:pPr>
              <w:spacing w:after="40"/>
            </w:pPr>
            <w:r>
              <w:t xml:space="preserve">6</w:t>
            </w:r>
          </w:p>
        </w:tc>
        <w:tc>
          <w:tcPr>
            <w:tcW w:w="1000" w:type="dxa"/>
          </w:tcPr>
          <w:p>
            <w:pPr>
              <w:spacing w:after="40"/>
            </w:pPr>
            <w:r>
              <w:t xml:space="preserve">16</w:t>
            </w:r>
          </w:p>
        </w:tc>
        <w:tc>
          <w:tcPr>
            <w:tcW w:w="7860" w:type="dxa"/>
          </w:tcPr>
          <w:p>
            <w:pPr>
              <w:spacing w:after="40"/>
            </w:pPr>
            <w:r>
              <w:t xml:space="preserve">Governing law, seat and dispute-resolution mechanism.</w:t>
            </w:r>
          </w:p>
        </w:tc>
      </w:tr>
      <w:tr>
        <w:tc>
          <w:tcPr>
            <w:tcW w:w="500" w:type="dxa"/>
          </w:tcPr>
          <w:p>
            <w:pPr>
              <w:spacing w:after="40"/>
            </w:pPr>
            <w:r>
              <w:t xml:space="preserve">7</w:t>
            </w:r>
          </w:p>
        </w:tc>
        <w:tc>
          <w:tcPr>
            <w:tcW w:w="1000" w:type="dxa"/>
          </w:tcPr>
          <w:p>
            <w:pPr>
              <w:spacing w:after="40"/>
            </w:pPr>
            <w:r>
              <w:t xml:space="preserve">Whole</w:t>
            </w:r>
          </w:p>
        </w:tc>
        <w:tc>
          <w:tcPr>
            <w:tcW w:w="7860" w:type="dxa"/>
          </w:tcPr>
          <w:p>
            <w:pPr>
              <w:spacing w:after="40"/>
            </w:pPr>
            <w:r>
              <w:t xml:space="preserve">Do the seven verbatim phrasings required by FR-94 survive review in that form? Where not, what replaces them?</w:t>
            </w:r>
          </w:p>
        </w:tc>
      </w:tr>
    </w:tbl>
    <w:p>
      <w:pPr>
        <w:spacing w:after="120"/>
      </w:pPr>
    </w:p>
    <w:p>
      <w:pPr>
        <w:spacing w:after="120"/>
      </w:pPr>
      <w:r>
        <w:t/>
      </w:r>
    </w:p>
    <w:p>
      <w:pPr>
        <w:spacing w:after="0"/>
      </w:pPr>
      <w:r>
        <w:t xml:space="preserve">_Draft assembled from the Trust's committed product requirements. Unreviewed. Not adopted. Not published._</w:t>
      </w:r>
    </w:p>
    <w:sectPr>
      <w:pgSz w:w="11906" w:h="16838"/>
      <w:pgMar w:top="1134" w:right="1134" w:bottom="1134" w:left="1134" w:header="709" w:footer="709"/>
    </w:sectPr>
  </w:body>
</w:document>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sz w:val="21"/>
      </w:rPr>
    </w:rPrDefault>
  </w:docDefaults>
  <w:style w:type="paragraph" w:styleId="Normal" w:default="1">
    <w:name w:val="Normal"/>
  </w:style>
  <w:style w:type="paragraph" w:styleId="Title">
    <w:name w:val="Title"/>
    <w:pPr>
      <w:spacing w:after="120"/>
    </w:pPr>
    <w:rPr>
      <w:b/>
      <w:sz w:val="40"/>
      <w:color w:val="1F3864"/>
    </w:rPr>
  </w:style>
  <w:style w:type="paragraph" w:styleId="Subtitle">
    <w:name w:val="Subtitle"/>
    <w:rPr>
      <w:i/>
      <w:sz w:val="22"/>
      <w:color w:val="595959"/>
    </w:rPr>
  </w:style>
  <w:style w:type="paragraph" w:styleId="Heading1">
    <w:name w:val="heading 1"/>
    <w:pPr>
      <w:outlineLvl w:val="0"/>
      <w:spacing w:before="280" w:after="140"/>
    </w:pPr>
    <w:rPr>
      <w:b/>
      <w:sz w:val="30"/>
      <w:color w:val="1F3864"/>
    </w:rPr>
  </w:style>
  <w:style w:type="paragraph" w:styleId="Heading2">
    <w:name w:val="heading 2"/>
    <w:pPr>
      <w:outlineLvl w:val="1"/>
      <w:spacing w:before="220" w:after="110"/>
    </w:pPr>
    <w:rPr>
      <w:b/>
      <w:sz w:val="25"/>
      <w:color w:val="2E5496"/>
    </w:rPr>
  </w:style>
  <w:style w:type="paragraph" w:styleId="Heading3">
    <w:name w:val="heading 3"/>
    <w:pPr>
      <w:outlineLvl w:val="2"/>
      <w:spacing w:before="180" w:after="90"/>
    </w:pPr>
    <w:rPr>
      <w:b/>
      <w:sz w:val="22"/>
      <w:color w:val="404040"/>
    </w:rPr>
  </w:style>
  <w:style w:type="paragraph" w:styleId="ListParagraph">
    <w:name w:val="List Paragraph"/>
    <w:pPr>
      <w:ind w:left="720"/>
    </w:pPr>
  </w:style>
  <w:style w:type="table"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