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4E7" w:rsidRPr="007814E7" w:rsidRDefault="007814E7" w:rsidP="007814E7">
      <w:pPr>
        <w:keepNext/>
        <w:widowControl w:val="0"/>
        <w:spacing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Chapter 3   </w:t>
      </w:r>
      <w:proofErr w:type="gramStart"/>
      <w:r w:rsidRPr="007814E7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The</w:t>
      </w:r>
      <w:proofErr w:type="gramEnd"/>
      <w:r w:rsidRPr="007814E7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 Enhanced E-R Model</w:t>
      </w:r>
    </w:p>
    <w:p w:rsidR="007814E7" w:rsidRPr="007814E7" w:rsidRDefault="007814E7" w:rsidP="007814E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7814E7" w:rsidRPr="007814E7" w:rsidRDefault="007814E7" w:rsidP="007814E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Chapter Overview</w:t>
      </w:r>
    </w:p>
    <w:p w:rsidR="007814E7" w:rsidRPr="007814E7" w:rsidRDefault="007814E7" w:rsidP="007814E7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7814E7" w:rsidRPr="007814E7" w:rsidRDefault="007814E7" w:rsidP="007814E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The purpose of this chapter is to present some important extensions to the E-R model (described in Chapter 2) that are useful in capturing additional business meaning.  In particular, we describe two types of extensions to the E-R model.  First, the enhanced entity-relationship (EER) model includes constructs for </w:t>
      </w:r>
      <w:proofErr w:type="spellStart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supertype</w:t>
      </w:r>
      <w:proofErr w:type="spellEnd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/subtype relationships.  Second, the inclusion of new notation for business rules allows the designer to capture a broader range of constraints on the data model than were previously available.</w:t>
      </w:r>
    </w:p>
    <w:p w:rsidR="007814E7" w:rsidRPr="007814E7" w:rsidRDefault="007814E7" w:rsidP="007814E7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:rsidR="007814E7" w:rsidRPr="007814E7" w:rsidRDefault="007814E7" w:rsidP="007814E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Chapter Objectives</w:t>
      </w:r>
    </w:p>
    <w:p w:rsidR="007814E7" w:rsidRPr="007814E7" w:rsidRDefault="007814E7" w:rsidP="007814E7">
      <w:pPr>
        <w:widowControl w:val="0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7814E7" w:rsidRPr="007814E7" w:rsidRDefault="007814E7" w:rsidP="007814E7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bookmarkStart w:id="0" w:name="_GoBack"/>
      <w:bookmarkEnd w:id="0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1.</w:t>
      </w: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Introduce the concept of </w:t>
      </w:r>
      <w:proofErr w:type="spellStart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supertype</w:t>
      </w:r>
      <w:proofErr w:type="spellEnd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/subtype relationships, and prepare the students to recognize when to use these relationships in data modeling.</w:t>
      </w:r>
    </w:p>
    <w:p w:rsidR="007814E7" w:rsidRPr="007814E7" w:rsidRDefault="007814E7" w:rsidP="007814E7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2.</w:t>
      </w: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Describe the use of specialization (top-down perspective) and generalization (bottom-up perspective) as complementary techniques for defining </w:t>
      </w:r>
      <w:proofErr w:type="spellStart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supertype</w:t>
      </w:r>
      <w:proofErr w:type="spellEnd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/subtype relationships.</w:t>
      </w:r>
    </w:p>
    <w:p w:rsidR="007814E7" w:rsidRPr="007814E7" w:rsidRDefault="007814E7" w:rsidP="007814E7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3.</w:t>
      </w: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Introduce a notation for specifying both completeness constraints and </w:t>
      </w:r>
      <w:proofErr w:type="spellStart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disjointness</w:t>
      </w:r>
      <w:proofErr w:type="spellEnd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 xml:space="preserve"> constraints when modeling </w:t>
      </w:r>
      <w:proofErr w:type="spellStart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supertype</w:t>
      </w:r>
      <w:proofErr w:type="spellEnd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/subtype relationships.</w:t>
      </w:r>
    </w:p>
    <w:p w:rsidR="007814E7" w:rsidRPr="007814E7" w:rsidRDefault="007814E7" w:rsidP="007814E7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4.</w:t>
      </w: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 xml:space="preserve">Help students gain sufficient perspective so that they recognize when to use (and when not to use) </w:t>
      </w:r>
      <w:proofErr w:type="spellStart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supertype</w:t>
      </w:r>
      <w:proofErr w:type="spellEnd"/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/subtype relationships in realistic business situations.</w:t>
      </w:r>
    </w:p>
    <w:p w:rsidR="007814E7" w:rsidRPr="007814E7" w:rsidRDefault="007814E7" w:rsidP="007814E7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5.</w:t>
      </w: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Describe the basic premises of a business rules paradigm.</w:t>
      </w:r>
    </w:p>
    <w:p w:rsidR="007814E7" w:rsidRPr="007814E7" w:rsidRDefault="007814E7" w:rsidP="007814E7">
      <w:pPr>
        <w:widowControl w:val="0"/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>6.</w:t>
      </w: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ab/>
        <w:t>Discuss the concept of a universal data model and its use in packaged data models.</w:t>
      </w:r>
    </w:p>
    <w:p w:rsidR="007814E7" w:rsidRPr="007814E7" w:rsidRDefault="007814E7" w:rsidP="007814E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sz w:val="24"/>
          <w:szCs w:val="20"/>
          <w:lang w:val="en-US"/>
        </w:rPr>
        <w:tab/>
      </w:r>
    </w:p>
    <w:p w:rsidR="007814E7" w:rsidRPr="007814E7" w:rsidRDefault="007814E7" w:rsidP="007814E7">
      <w:pPr>
        <w:widowControl w:val="0"/>
        <w:tabs>
          <w:tab w:val="left" w:pos="-2610"/>
          <w:tab w:val="left" w:pos="270"/>
          <w:tab w:val="left" w:pos="446"/>
          <w:tab w:val="left" w:pos="9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  <w:r w:rsidRPr="007814E7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Key Terms</w:t>
      </w:r>
    </w:p>
    <w:p w:rsidR="007814E7" w:rsidRPr="007814E7" w:rsidRDefault="007814E7" w:rsidP="007814E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92"/>
        <w:gridCol w:w="3192"/>
        <w:gridCol w:w="3192"/>
      </w:tblGrid>
      <w:tr w:rsidR="007814E7" w:rsidRPr="007814E7" w:rsidTr="00972E16">
        <w:tblPrEx>
          <w:tblCellMar>
            <w:top w:w="0" w:type="dxa"/>
            <w:bottom w:w="0" w:type="dxa"/>
          </w:tblCellMar>
        </w:tblPrEx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Attribute inheritance</w:t>
            </w: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Generalization</w:t>
            </w: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Subtype discriminator</w:t>
            </w:r>
          </w:p>
        </w:tc>
      </w:tr>
      <w:tr w:rsidR="007814E7" w:rsidRPr="007814E7" w:rsidTr="00972E16">
        <w:tblPrEx>
          <w:tblCellMar>
            <w:top w:w="0" w:type="dxa"/>
            <w:bottom w:w="0" w:type="dxa"/>
          </w:tblCellMar>
        </w:tblPrEx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Completeness constraint</w:t>
            </w: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Overlap rule</w:t>
            </w: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Supertype</w:t>
            </w:r>
            <w:proofErr w:type="spellEnd"/>
          </w:p>
        </w:tc>
      </w:tr>
      <w:tr w:rsidR="007814E7" w:rsidRPr="007814E7" w:rsidTr="00972E16">
        <w:tblPrEx>
          <w:tblCellMar>
            <w:top w:w="0" w:type="dxa"/>
            <w:bottom w:w="0" w:type="dxa"/>
          </w:tblCellMar>
        </w:tblPrEx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Disjoint rule</w:t>
            </w: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Partial specialization rule</w:t>
            </w: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Supertype</w:t>
            </w:r>
            <w:proofErr w:type="spellEnd"/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/subtype hierarchy</w:t>
            </w:r>
          </w:p>
        </w:tc>
      </w:tr>
      <w:tr w:rsidR="007814E7" w:rsidRPr="007814E7" w:rsidTr="00972E16">
        <w:tblPrEx>
          <w:tblCellMar>
            <w:top w:w="0" w:type="dxa"/>
            <w:bottom w:w="0" w:type="dxa"/>
          </w:tblCellMar>
        </w:tblPrEx>
        <w:trPr>
          <w:cantSplit/>
          <w:trHeight w:val="60"/>
        </w:trPr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Disjointness</w:t>
            </w:r>
            <w:proofErr w:type="spellEnd"/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 constraint</w:t>
            </w:r>
          </w:p>
        </w:tc>
        <w:tc>
          <w:tcPr>
            <w:tcW w:w="3192" w:type="dxa"/>
            <w:shd w:val="clear" w:color="auto" w:fill="auto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Specialization</w:t>
            </w: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Total specialization rule</w:t>
            </w:r>
          </w:p>
        </w:tc>
      </w:tr>
      <w:tr w:rsidR="007814E7" w:rsidRPr="007814E7" w:rsidTr="00972E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ind w:left="720" w:hanging="720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Enhanced entity-relationship (EER) model</w:t>
            </w:r>
          </w:p>
        </w:tc>
        <w:tc>
          <w:tcPr>
            <w:tcW w:w="3192" w:type="dxa"/>
            <w:shd w:val="clear" w:color="auto" w:fill="auto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Subtype</w:t>
            </w: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Universal data model</w:t>
            </w:r>
          </w:p>
        </w:tc>
      </w:tr>
      <w:tr w:rsidR="007814E7" w:rsidRPr="007814E7" w:rsidTr="00972E16">
        <w:tblPrEx>
          <w:tblCellMar>
            <w:top w:w="0" w:type="dxa"/>
            <w:bottom w:w="0" w:type="dxa"/>
          </w:tblCellMar>
        </w:tblPrEx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7814E7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Entity cluster</w:t>
            </w: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  <w:tc>
          <w:tcPr>
            <w:tcW w:w="3192" w:type="dxa"/>
          </w:tcPr>
          <w:p w:rsidR="007814E7" w:rsidRPr="007814E7" w:rsidRDefault="007814E7" w:rsidP="007814E7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</w:p>
        </w:tc>
      </w:tr>
    </w:tbl>
    <w:p w:rsidR="007814E7" w:rsidRPr="007814E7" w:rsidRDefault="007814E7" w:rsidP="007814E7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:rsidR="005B2181" w:rsidRDefault="005B2181"/>
    <w:sectPr w:rsidR="005B2181">
      <w:headerReference w:type="even" r:id="rId5"/>
      <w:headerReference w:type="default" r:id="rId6"/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8FE" w:rsidRDefault="00111E8C" w:rsidP="0042037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42</w:t>
    </w:r>
    <w:r>
      <w:rPr>
        <w:rStyle w:val="PageNumber"/>
      </w:rPr>
      <w:fldChar w:fldCharType="end"/>
    </w:r>
  </w:p>
  <w:p w:rsidR="00B328FE" w:rsidRPr="0092420D" w:rsidRDefault="00111E8C" w:rsidP="00510BE0">
    <w:pPr>
      <w:pStyle w:val="Footer"/>
      <w:ind w:right="360" w:firstLine="360"/>
      <w:jc w:val="center"/>
      <w:rPr>
        <w:sz w:val="16"/>
        <w:szCs w:val="16"/>
      </w:rPr>
    </w:pPr>
    <w:r w:rsidRPr="00E51FE3">
      <w:rPr>
        <w:sz w:val="16"/>
        <w:szCs w:val="16"/>
      </w:rPr>
      <w:t>C</w:t>
    </w:r>
    <w:r>
      <w:rPr>
        <w:sz w:val="16"/>
        <w:szCs w:val="16"/>
      </w:rPr>
      <w:t>opyright © 2016 Pearson Education, Inc.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28FE" w:rsidRDefault="00111E8C" w:rsidP="00420373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328FE" w:rsidRPr="0092420D" w:rsidRDefault="00111E8C" w:rsidP="00510BE0">
    <w:pPr>
      <w:pStyle w:val="Footer"/>
      <w:ind w:right="360" w:firstLine="360"/>
      <w:jc w:val="center"/>
      <w:rPr>
        <w:sz w:val="16"/>
        <w:szCs w:val="16"/>
      </w:rPr>
    </w:pPr>
    <w:r w:rsidRPr="00E51FE3">
      <w:rPr>
        <w:sz w:val="16"/>
        <w:szCs w:val="16"/>
      </w:rPr>
      <w:t>C</w:t>
    </w:r>
    <w:r>
      <w:rPr>
        <w:sz w:val="16"/>
        <w:szCs w:val="16"/>
      </w:rPr>
      <w:t>opyright © 2016 Pearson Education, Inc.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70A" w:rsidRDefault="00111E8C" w:rsidP="002912CF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42</w:t>
    </w:r>
    <w:r>
      <w:rPr>
        <w:rStyle w:val="PageNumber"/>
      </w:rPr>
      <w:fldChar w:fldCharType="end"/>
    </w:r>
  </w:p>
  <w:p w:rsidR="00B328FE" w:rsidRDefault="00111E8C" w:rsidP="00BD570A">
    <w:pPr>
      <w:pStyle w:val="Header"/>
      <w:tabs>
        <w:tab w:val="right" w:pos="9360"/>
      </w:tabs>
      <w:ind w:right="360" w:firstLine="360"/>
      <w:rPr>
        <w:i/>
      </w:rPr>
    </w:pPr>
    <w:r>
      <w:tab/>
    </w:r>
    <w:r>
      <w:rPr>
        <w:i/>
      </w:rPr>
      <w:t>Modern D</w:t>
    </w:r>
    <w:r>
      <w:rPr>
        <w:i/>
      </w:rPr>
      <w:t>atabase Management, Twelfth Edition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570A" w:rsidRDefault="00111E8C" w:rsidP="002912CF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328FE" w:rsidRDefault="00111E8C">
    <w:pPr>
      <w:pStyle w:val="Header"/>
      <w:ind w:right="360" w:firstLine="360"/>
      <w:jc w:val="center"/>
      <w:rPr>
        <w:i/>
      </w:rPr>
    </w:pPr>
    <w:r>
      <w:rPr>
        <w:i/>
      </w:rPr>
      <w:t>Chapter 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4E7"/>
    <w:rsid w:val="00111E8C"/>
    <w:rsid w:val="005B2181"/>
    <w:rsid w:val="0078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4E7"/>
  </w:style>
  <w:style w:type="paragraph" w:styleId="Footer">
    <w:name w:val="footer"/>
    <w:basedOn w:val="Normal"/>
    <w:link w:val="FooterChar"/>
    <w:uiPriority w:val="99"/>
    <w:semiHidden/>
    <w:unhideWhenUsed/>
    <w:rsid w:val="00781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4E7"/>
  </w:style>
  <w:style w:type="character" w:styleId="PageNumber">
    <w:name w:val="page number"/>
    <w:basedOn w:val="DefaultParagraphFont"/>
    <w:rsid w:val="007814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81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14E7"/>
  </w:style>
  <w:style w:type="paragraph" w:styleId="Footer">
    <w:name w:val="footer"/>
    <w:basedOn w:val="Normal"/>
    <w:link w:val="FooterChar"/>
    <w:uiPriority w:val="99"/>
    <w:semiHidden/>
    <w:unhideWhenUsed/>
    <w:rsid w:val="007814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14E7"/>
  </w:style>
  <w:style w:type="character" w:styleId="PageNumber">
    <w:name w:val="page number"/>
    <w:basedOn w:val="DefaultParagraphFont"/>
    <w:rsid w:val="00781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Umapathy Venugopal</dc:creator>
  <cp:lastModifiedBy>Umapathy Venugopal</cp:lastModifiedBy>
  <cp:revision>2</cp:revision>
  <dcterms:created xsi:type="dcterms:W3CDTF">2016-06-17T05:01:00Z</dcterms:created>
  <dcterms:modified xsi:type="dcterms:W3CDTF">2016-06-17T05:03:00Z</dcterms:modified>
</cp:coreProperties>
</file>