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line="240" w:lineRule="auto"/>
        <w:jc w:val="center"/>
      </w:pPr>
      <w:r>
        <w:rPr>
          <w:rFonts w:ascii="Calibri" w:hAnsi="Calibri"/>
          <w:b/>
          <w:color w:val="102C57"/>
          <w:sz w:val="22"/>
        </w:rPr>
        <w:t>DSRDS-32: Realistic Constraints — Academic Literature Review &amp; Design Specification</w:t>
      </w:r>
    </w:p>
    <w:p>
      <w:pPr>
        <w:spacing w:before="0" w:after="50" w:line="240" w:lineRule="auto"/>
        <w:jc w:val="center"/>
      </w:pPr>
      <w:r>
        <w:rPr>
          <w:rFonts w:ascii="Calibri" w:hAnsi="Calibri"/>
          <w:i/>
          <w:color w:val="5A646E"/>
          <w:sz w:val="16"/>
        </w:rPr>
        <w:t>Industrial Engineering Design Project | Atlas University | Focus: Green-Prescription Pharmaceuticals in Türkiye</w:t>
      </w:r>
    </w:p>
    <w:p>
      <w:pPr>
        <w:spacing w:before="0" w:after="50" w:line="245" w:lineRule="auto"/>
        <w:jc w:val="left"/>
      </w:pPr>
      <w:r>
        <w:rPr>
          <w:rFonts w:ascii="Calibri" w:hAnsi="Calibri"/>
          <w:b/>
          <w:color w:val="1E1E1E"/>
          <w:sz w:val="16"/>
        </w:rPr>
        <w:t xml:space="preserve">Introduction &amp; Project Scope: </w:t>
      </w:r>
      <w:r>
        <w:rPr>
          <w:rFonts w:ascii="Calibri" w:hAnsi="Calibri"/>
          <w:color w:val="1E1E1E"/>
          <w:sz w:val="16"/>
        </w:rPr>
        <w:t>This literature review investigates empirical and operations research evidence from peer-reviewed pharmaceutical supply-chain (PSC) studies to identify realistic constraints governing the design of the Drug Shortage Risk Prediction and Decision Support System (DSRDS). Engineered for Turkish community pharmacies and pharmaceutical wholesalers, DSRDS provides decision support to assess supply vulnerability, prioritize at-risk green-prescription medicines (psychotropics and controlled substances), and evaluate mitigation strategies. Evidence from four genuine academic studies is synthesized to delineate the feasible solution space, explicitly establishing boundaries where upstream supply data are inaccessible.</w:t>
      </w:r>
    </w:p>
    <w:p>
      <w:pPr>
        <w:spacing w:before="80" w:after="30" w:line="240" w:lineRule="auto"/>
        <w:jc w:val="left"/>
      </w:pPr>
      <w:r>
        <w:rPr>
          <w:rFonts w:ascii="Calibri" w:hAnsi="Calibri"/>
          <w:b/>
          <w:color w:val="102C57"/>
          <w:sz w:val="19"/>
        </w:rPr>
        <w:t>1. Peer-Reviewed Academic Literature Summaries</w:t>
      </w:r>
    </w:p>
    <w:p>
      <w:pPr>
        <w:spacing w:before="50" w:after="20" w:line="240" w:lineRule="auto"/>
        <w:jc w:val="left"/>
      </w:pPr>
      <w:r>
        <w:rPr>
          <w:rFonts w:ascii="Calibri" w:hAnsi="Calibri"/>
          <w:b/>
          <w:color w:val="004B8C"/>
          <w:sz w:val="17"/>
        </w:rPr>
        <w:t>Paper 1: Supply Chain Reliability, Network Configuration, and Shortage Effects</w:t>
      </w:r>
    </w:p>
    <w:p>
      <w:pPr>
        <w:spacing w:before="0" w:after="24" w:line="240" w:lineRule="auto"/>
        <w:jc w:val="left"/>
      </w:pPr>
      <w:r>
        <w:rPr>
          <w:rFonts w:ascii="Calibri" w:hAnsi="Calibri"/>
          <w:b/>
          <w:color w:val="1E1E1E"/>
          <w:sz w:val="16"/>
        </w:rPr>
        <w:t xml:space="preserve">Citation: </w:t>
      </w:r>
      <w:r>
        <w:rPr>
          <w:rFonts w:ascii="Calibri" w:hAnsi="Calibri"/>
          <w:color w:val="1E1E1E"/>
          <w:sz w:val="16"/>
        </w:rPr>
        <w:t>Tucker, E. L., &amp; Daskin, M. S. (2022). Computers &amp; Industrial Engineering, 169, 108258. https://doi.org/10.1016/j.cie.2022.108258</w:t>
      </w:r>
    </w:p>
    <w:p>
      <w:pPr>
        <w:spacing w:before="0" w:after="24" w:line="240" w:lineRule="auto"/>
        <w:jc w:val="left"/>
      </w:pPr>
      <w:r>
        <w:rPr>
          <w:rFonts w:ascii="Calibri" w:hAnsi="Calibri"/>
          <w:b/>
          <w:color w:val="1E1E1E"/>
          <w:sz w:val="16"/>
        </w:rPr>
        <w:t xml:space="preserve">Objective &amp; Problem: </w:t>
      </w:r>
      <w:r>
        <w:rPr>
          <w:rFonts w:ascii="Calibri" w:hAnsi="Calibri"/>
          <w:color w:val="1E1E1E"/>
          <w:sz w:val="16"/>
        </w:rPr>
        <w:t>Addresses the tension between profit-maximizing lean operations and PSC reliability in generic injectables, modeling how network configurations and disruption recovery mitigate shortages.</w:t>
      </w:r>
    </w:p>
    <w:p>
      <w:pPr>
        <w:spacing w:before="0" w:after="24" w:line="240" w:lineRule="auto"/>
        <w:jc w:val="left"/>
      </w:pPr>
      <w:r>
        <w:rPr>
          <w:rFonts w:ascii="Calibri" w:hAnsi="Calibri"/>
          <w:b/>
          <w:color w:val="1E1E1E"/>
          <w:sz w:val="16"/>
        </w:rPr>
        <w:t xml:space="preserve">Method &amp; Data: </w:t>
      </w:r>
      <w:r>
        <w:rPr>
          <w:rFonts w:ascii="Calibri" w:hAnsi="Calibri"/>
          <w:color w:val="1E1E1E"/>
          <w:sz w:val="16"/>
        </w:rPr>
        <w:t>Multi-echelon nonlinear optimization model parameterized on US FDA Drug Shortages records (2010–2019) and generic oncology case studies, evaluating single vs. dual sourcing under stochastic disruptions.</w:t>
      </w:r>
    </w:p>
    <w:p>
      <w:pPr>
        <w:spacing w:before="0" w:after="24" w:line="240" w:lineRule="auto"/>
        <w:jc w:val="left"/>
      </w:pPr>
      <w:r>
        <w:rPr>
          <w:rFonts w:ascii="Calibri" w:hAnsi="Calibri"/>
          <w:b/>
          <w:color w:val="1E1E1E"/>
          <w:sz w:val="16"/>
        </w:rPr>
        <w:t xml:space="preserve">Main Findings: </w:t>
      </w:r>
      <w:r>
        <w:rPr>
          <w:rFonts w:ascii="Calibri" w:hAnsi="Calibri"/>
          <w:color w:val="1E1E1E"/>
          <w:sz w:val="16"/>
        </w:rPr>
        <w:t>Dual-sourcing reduces expected shortages by up to 72% across critical lines. However, low-margin generic pricing structures create severe economic disincentives for maintaining idle backup capacity without procurement premiums.</w:t>
      </w:r>
    </w:p>
    <w:p>
      <w:pPr>
        <w:spacing w:before="0" w:after="24" w:line="240" w:lineRule="auto"/>
        <w:jc w:val="left"/>
      </w:pPr>
      <w:r>
        <w:rPr>
          <w:rFonts w:ascii="Calibri" w:hAnsi="Calibri"/>
          <w:b/>
          <w:color w:val="1E1E1E"/>
          <w:sz w:val="16"/>
        </w:rPr>
        <w:t xml:space="preserve">Contribution to DSRDS: </w:t>
      </w:r>
      <w:r>
        <w:rPr>
          <w:rFonts w:ascii="Calibri" w:hAnsi="Calibri"/>
          <w:color w:val="1E1E1E"/>
          <w:sz w:val="16"/>
        </w:rPr>
        <w:t>Demonstrates supplier concentration is a primary mathematical driver of stockout risk; validates DSRDS’s supplier concentration risk index and proves alternative supplier switching lead times are non-zero.</w:t>
      </w:r>
    </w:p>
    <w:p>
      <w:pPr>
        <w:spacing w:before="0" w:after="24" w:line="240" w:lineRule="auto"/>
        <w:jc w:val="left"/>
      </w:pPr>
      <w:r>
        <w:rPr>
          <w:rFonts w:ascii="Calibri" w:hAnsi="Calibri"/>
          <w:b/>
          <w:color w:val="1E1E1E"/>
          <w:sz w:val="16"/>
        </w:rPr>
        <w:t xml:space="preserve">Applicability to Türkiye: </w:t>
      </w:r>
      <w:r>
        <w:rPr>
          <w:rFonts w:ascii="Calibri" w:hAnsi="Calibri"/>
          <w:color w:val="1E1E1E"/>
          <w:sz w:val="16"/>
        </w:rPr>
        <w:t>Assumes flexible US secondary contracting. In Türkiye, fixed SGK reference pricing (SUT Ek-4/A) severely limits wholesaler margins, making operational dual-sourcing economically unviable for many imported generic lines.</w:t>
      </w:r>
    </w:p>
    <w:p>
      <w:pPr>
        <w:spacing w:before="50" w:after="20" w:line="240" w:lineRule="auto"/>
        <w:jc w:val="left"/>
      </w:pPr>
      <w:r>
        <w:rPr>
          <w:rFonts w:ascii="Calibri" w:hAnsi="Calibri"/>
          <w:b/>
          <w:color w:val="004B8C"/>
          <w:sz w:val="17"/>
        </w:rPr>
        <w:t>Paper 2: Predictive Risk Modeling Using Downstream Pharmacy Dispensing Data</w:t>
      </w:r>
    </w:p>
    <w:p>
      <w:pPr>
        <w:spacing w:before="0" w:after="24" w:line="240" w:lineRule="auto"/>
        <w:jc w:val="left"/>
      </w:pPr>
      <w:r>
        <w:rPr>
          <w:rFonts w:ascii="Calibri" w:hAnsi="Calibri"/>
          <w:b/>
          <w:color w:val="1E1E1E"/>
          <w:sz w:val="16"/>
        </w:rPr>
        <w:t xml:space="preserve">Citation: </w:t>
      </w:r>
      <w:r>
        <w:rPr>
          <w:rFonts w:ascii="Calibri" w:hAnsi="Calibri"/>
          <w:color w:val="1E1E1E"/>
          <w:sz w:val="16"/>
        </w:rPr>
        <w:t>Pall, R., Gauthier, Y., Auer, S., &amp; Mowaswes, W. (2023). Health Care Management Science, 26(3), 395–411. https://doi.org/10.1007/s10729-022-09627-y</w:t>
      </w:r>
    </w:p>
    <w:p>
      <w:pPr>
        <w:spacing w:before="0" w:after="24" w:line="240" w:lineRule="auto"/>
        <w:jc w:val="left"/>
      </w:pPr>
      <w:r>
        <w:rPr>
          <w:rFonts w:ascii="Calibri" w:hAnsi="Calibri"/>
          <w:b/>
          <w:color w:val="1E1E1E"/>
          <w:sz w:val="16"/>
        </w:rPr>
        <w:t xml:space="preserve">Objective &amp; Problem: </w:t>
      </w:r>
      <w:r>
        <w:rPr>
          <w:rFonts w:ascii="Calibri" w:hAnsi="Calibri"/>
          <w:color w:val="1E1E1E"/>
          <w:sz w:val="16"/>
        </w:rPr>
        <w:t>Investigates whether machine learning can forecast drug shortages months ahead relying exclusively on downstream dispensing and sales patterns when upstream manufacturer inventory and production schedules are unavailable.</w:t>
      </w:r>
    </w:p>
    <w:p>
      <w:pPr>
        <w:spacing w:before="0" w:after="24" w:line="240" w:lineRule="auto"/>
        <w:jc w:val="left"/>
      </w:pPr>
      <w:r>
        <w:rPr>
          <w:rFonts w:ascii="Calibri" w:hAnsi="Calibri"/>
          <w:b/>
          <w:color w:val="1E1E1E"/>
          <w:sz w:val="16"/>
        </w:rPr>
        <w:t xml:space="preserve">Method &amp; Data: </w:t>
      </w:r>
      <w:r>
        <w:rPr>
          <w:rFonts w:ascii="Calibri" w:hAnsi="Calibri"/>
          <w:color w:val="1E1E1E"/>
          <w:sz w:val="16"/>
        </w:rPr>
        <w:t>Supervised multi-class ML (Random Forest, Gradient Boosting) trained on 22 Canadian community pharmacies over 36 months paired with Health Canada shortage records; features included days-of-supply, historical shortage patterns, and ATC clusters.</w:t>
      </w:r>
    </w:p>
    <w:p>
      <w:pPr>
        <w:spacing w:before="0" w:after="24" w:line="240" w:lineRule="auto"/>
        <w:jc w:val="left"/>
      </w:pPr>
      <w:r>
        <w:rPr>
          <w:rFonts w:ascii="Calibri" w:hAnsi="Calibri"/>
          <w:b/>
          <w:color w:val="1E1E1E"/>
          <w:sz w:val="16"/>
        </w:rPr>
        <w:t xml:space="preserve">Main Findings: </w:t>
      </w:r>
      <w:r>
        <w:rPr>
          <w:rFonts w:ascii="Calibri" w:hAnsi="Calibri"/>
          <w:color w:val="1E1E1E"/>
          <w:sz w:val="16"/>
        </w:rPr>
        <w:t>Predicted 4-tier shortage severity 1 month ahead with 69.0% accuracy (Kappa = 0.44), capturing 59% of high-impact shortages (high demand, zero substitutes) without upstream factory or distributor inventory visibility.</w:t>
      </w:r>
    </w:p>
    <w:p>
      <w:pPr>
        <w:spacing w:before="0" w:after="24" w:line="240" w:lineRule="auto"/>
        <w:jc w:val="left"/>
      </w:pPr>
      <w:r>
        <w:rPr>
          <w:rFonts w:ascii="Calibri" w:hAnsi="Calibri"/>
          <w:b/>
          <w:color w:val="1E1E1E"/>
          <w:sz w:val="16"/>
        </w:rPr>
        <w:t xml:space="preserve">Contribution to DSRDS: </w:t>
      </w:r>
      <w:r>
        <w:rPr>
          <w:rFonts w:ascii="Calibri" w:hAnsi="Calibri"/>
          <w:color w:val="1E1E1E"/>
          <w:sz w:val="16"/>
        </w:rPr>
        <w:t>Confirms technical feasibility of building decision support using downstream proxy indicators; directly justifies DSRDS’s proxy architecture given that Turkish İTS (Track and Trace) and manufacturer stock data are confidential.</w:t>
      </w:r>
    </w:p>
    <w:p>
      <w:pPr>
        <w:spacing w:before="0" w:after="24" w:line="240" w:lineRule="auto"/>
        <w:jc w:val="left"/>
      </w:pPr>
      <w:r>
        <w:rPr>
          <w:rFonts w:ascii="Calibri" w:hAnsi="Calibri"/>
          <w:b/>
          <w:color w:val="1E1E1E"/>
          <w:sz w:val="16"/>
        </w:rPr>
        <w:t xml:space="preserve">Applicability to Türkiye: </w:t>
      </w:r>
      <w:r>
        <w:rPr>
          <w:rFonts w:ascii="Calibri" w:hAnsi="Calibri"/>
          <w:color w:val="1E1E1E"/>
          <w:sz w:val="16"/>
        </w:rPr>
        <w:t>Downstream dispensing velocity cannot separate true supply scarcity from local panic buying. Must be calibrated in Türkiye against SGK reimbursement rules and seasonal quota resets.</w:t>
      </w:r>
    </w:p>
    <w:p>
      <w:pPr>
        <w:spacing w:before="50" w:after="20" w:line="240" w:lineRule="auto"/>
        <w:jc w:val="left"/>
      </w:pPr>
      <w:r>
        <w:rPr>
          <w:rFonts w:ascii="Calibri" w:hAnsi="Calibri"/>
          <w:b/>
          <w:color w:val="004B8C"/>
          <w:sz w:val="17"/>
        </w:rPr>
        <w:t>Paper 3: Systemic Resilience, Multi-Tier Visibility, and Information Silos</w:t>
      </w:r>
    </w:p>
    <w:p>
      <w:pPr>
        <w:spacing w:before="0" w:after="24" w:line="240" w:lineRule="auto"/>
        <w:jc w:val="left"/>
      </w:pPr>
      <w:r>
        <w:rPr>
          <w:rFonts w:ascii="Calibri" w:hAnsi="Calibri"/>
          <w:b/>
          <w:color w:val="1E1E1E"/>
          <w:sz w:val="16"/>
        </w:rPr>
        <w:t xml:space="preserve">Citation: </w:t>
      </w:r>
      <w:r>
        <w:rPr>
          <w:rFonts w:ascii="Calibri" w:hAnsi="Calibri"/>
          <w:color w:val="1E1E1E"/>
          <w:sz w:val="16"/>
        </w:rPr>
        <w:t>Yaroson, E. V., Breen, L., Hou, J., &amp; Sowter, J. (2021). Supply Chain Management: An International Journal, 26(3), 323–340. https://doi.org/10.1108/SCM-05-2019-0184</w:t>
      </w:r>
    </w:p>
    <w:p>
      <w:pPr>
        <w:spacing w:before="0" w:after="24" w:line="240" w:lineRule="auto"/>
        <w:jc w:val="left"/>
      </w:pPr>
      <w:r>
        <w:rPr>
          <w:rFonts w:ascii="Calibri" w:hAnsi="Calibri"/>
          <w:b/>
          <w:color w:val="1E1E1E"/>
          <w:sz w:val="16"/>
        </w:rPr>
        <w:t xml:space="preserve">Objective &amp; Problem: </w:t>
      </w:r>
      <w:r>
        <w:rPr>
          <w:rFonts w:ascii="Calibri" w:hAnsi="Calibri"/>
          <w:color w:val="1E1E1E"/>
          <w:sz w:val="16"/>
        </w:rPr>
        <w:t>Uses Complex Adaptive Systems (CAS) theory to investigate systemic vulnerabilities, multi-tier dependency propagation, and reasons for resilience breakdowns across global pharmaceutical supply chains.</w:t>
      </w:r>
    </w:p>
    <w:p>
      <w:pPr>
        <w:spacing w:before="0" w:after="24" w:line="240" w:lineRule="auto"/>
        <w:jc w:val="left"/>
      </w:pPr>
      <w:r>
        <w:rPr>
          <w:rFonts w:ascii="Calibri" w:hAnsi="Calibri"/>
          <w:b/>
          <w:color w:val="1E1E1E"/>
          <w:sz w:val="16"/>
        </w:rPr>
        <w:t xml:space="preserve">Method &amp; Data: </w:t>
      </w:r>
      <w:r>
        <w:rPr>
          <w:rFonts w:ascii="Calibri" w:hAnsi="Calibri"/>
          <w:color w:val="1E1E1E"/>
          <w:sz w:val="16"/>
        </w:rPr>
        <w:t>Empirical qualitative multi-case study covering 32 UK pharmaceutical supply chain organizations (manufacturers, wholesalers, NHS hospital pharmacies, community pharmacies, regulators) via semi-structured interviews and thematic analysis.</w:t>
      </w:r>
    </w:p>
    <w:p>
      <w:pPr>
        <w:spacing w:before="0" w:after="24" w:line="240" w:lineRule="auto"/>
        <w:jc w:val="left"/>
      </w:pPr>
      <w:r>
        <w:rPr>
          <w:rFonts w:ascii="Calibri" w:hAnsi="Calibri"/>
          <w:b/>
          <w:color w:val="1E1E1E"/>
          <w:sz w:val="16"/>
        </w:rPr>
        <w:t xml:space="preserve">Main Findings: </w:t>
      </w:r>
      <w:r>
        <w:rPr>
          <w:rFonts w:ascii="Calibri" w:hAnsi="Calibri"/>
          <w:color w:val="1E1E1E"/>
          <w:sz w:val="16"/>
        </w:rPr>
        <w:t>Uncovers severe structural vulnerabilities: extreme geographic concentration of active pharmaceutical ingredients (APIs) in Asia, systemic information silos, and late disruption alerts reaching pharmacies only after buffer exhaustion.</w:t>
      </w:r>
    </w:p>
    <w:p>
      <w:pPr>
        <w:spacing w:before="0" w:after="24" w:line="240" w:lineRule="auto"/>
        <w:jc w:val="left"/>
      </w:pPr>
      <w:r>
        <w:rPr>
          <w:rFonts w:ascii="Calibri" w:hAnsi="Calibri"/>
          <w:b/>
          <w:color w:val="1E1E1E"/>
          <w:sz w:val="16"/>
        </w:rPr>
        <w:t xml:space="preserve">Contribution to DSRDS: </w:t>
      </w:r>
      <w:r>
        <w:rPr>
          <w:rFonts w:ascii="Calibri" w:hAnsi="Calibri"/>
          <w:color w:val="1E1E1E"/>
          <w:sz w:val="16"/>
        </w:rPr>
        <w:t>Informs DSRDS risk-factor explanations; proves supply disruptions propagate non-linearly. DSRDS must treat tier-2 API bottlenecks as latent risks identifiable through macro-trade proxies (TÜİK/Comtrade) rather than direct observation.</w:t>
      </w:r>
    </w:p>
    <w:p>
      <w:pPr>
        <w:spacing w:before="0" w:after="24" w:line="240" w:lineRule="auto"/>
        <w:jc w:val="left"/>
      </w:pPr>
      <w:r>
        <w:rPr>
          <w:rFonts w:ascii="Calibri" w:hAnsi="Calibri"/>
          <w:b/>
          <w:color w:val="1E1E1E"/>
          <w:sz w:val="16"/>
        </w:rPr>
        <w:t xml:space="preserve">Applicability to Türkiye: </w:t>
      </w:r>
      <w:r>
        <w:rPr>
          <w:rFonts w:ascii="Calibri" w:hAnsi="Calibri"/>
          <w:color w:val="1E1E1E"/>
          <w:sz w:val="16"/>
        </w:rPr>
        <w:t>High relevance: Türkiye relies on China/India for &gt;70% of APIs (HS 29). While UK NHS utilizes centralized purchasing, Türkiye’s multi-wholesaler environment exhibits even higher downstream information fragmentation.</w:t>
      </w:r>
    </w:p>
    <w:p>
      <w:pPr>
        <w:spacing w:before="50" w:after="20" w:line="240" w:lineRule="auto"/>
        <w:jc w:val="left"/>
      </w:pPr>
      <w:r>
        <w:rPr>
          <w:rFonts w:ascii="Calibri" w:hAnsi="Calibri"/>
          <w:b/>
          <w:color w:val="004B8C"/>
          <w:sz w:val="17"/>
        </w:rPr>
        <w:t>Paper 4: Supply Chain Risk Management, Procurement Rules, and Generic Shortages</w:t>
      </w:r>
    </w:p>
    <w:p>
      <w:pPr>
        <w:spacing w:before="0" w:after="24" w:line="240" w:lineRule="auto"/>
        <w:jc w:val="left"/>
      </w:pPr>
      <w:r>
        <w:rPr>
          <w:rFonts w:ascii="Calibri" w:hAnsi="Calibri"/>
          <w:b/>
          <w:color w:val="1E1E1E"/>
          <w:sz w:val="16"/>
        </w:rPr>
        <w:t xml:space="preserve">Citation: </w:t>
      </w:r>
      <w:r>
        <w:rPr>
          <w:rFonts w:ascii="Calibri" w:hAnsi="Calibri"/>
          <w:color w:val="1E1E1E"/>
          <w:sz w:val="16"/>
        </w:rPr>
        <w:t>Ahlqvist, V., Dube, N., Jahre, M., Lee, J. S., Melaku, T., Moe, A. F., Olivier, M., Selviaridis, K., Viana, J., &amp; Aardal, C. (2022). Int. J. of Physical Distribution &amp; Logistics Management, 53(2), 206–230. https://doi.org/10.1108/IJPDLM-12-2021-0511</w:t>
      </w:r>
    </w:p>
    <w:p>
      <w:pPr>
        <w:spacing w:before="0" w:after="24" w:line="240" w:lineRule="auto"/>
        <w:jc w:val="left"/>
      </w:pPr>
      <w:r>
        <w:rPr>
          <w:rFonts w:ascii="Calibri" w:hAnsi="Calibri"/>
          <w:b/>
          <w:color w:val="1E1E1E"/>
          <w:sz w:val="16"/>
        </w:rPr>
        <w:t xml:space="preserve">Objective &amp; Problem: </w:t>
      </w:r>
      <w:r>
        <w:rPr>
          <w:rFonts w:ascii="Calibri" w:hAnsi="Calibri"/>
          <w:color w:val="1E1E1E"/>
          <w:sz w:val="16"/>
        </w:rPr>
        <w:t>Examines how public procurement rules, tendering structures, and regulatory interventions mitigate or inadvertently exacerbate generic medicine shortages during normal operations and acute crises.</w:t>
      </w:r>
    </w:p>
    <w:p>
      <w:pPr>
        <w:spacing w:before="0" w:after="24" w:line="240" w:lineRule="auto"/>
        <w:jc w:val="left"/>
      </w:pPr>
      <w:r>
        <w:rPr>
          <w:rFonts w:ascii="Calibri" w:hAnsi="Calibri"/>
          <w:b/>
          <w:color w:val="1E1E1E"/>
          <w:sz w:val="16"/>
        </w:rPr>
        <w:t xml:space="preserve">Method &amp; Data: </w:t>
      </w:r>
      <w:r>
        <w:rPr>
          <w:rFonts w:ascii="Calibri" w:hAnsi="Calibri"/>
          <w:color w:val="1E1E1E"/>
          <w:sz w:val="16"/>
        </w:rPr>
        <w:t>Comparative empirical case analysis across multiple European nations (UK, Norway, Sweden, Netherlands) synthesizing public procurement datasets, tendering contracts, and health authority interviews.</w:t>
      </w:r>
    </w:p>
    <w:p>
      <w:pPr>
        <w:spacing w:before="0" w:after="24" w:line="240" w:lineRule="auto"/>
        <w:jc w:val="left"/>
      </w:pPr>
      <w:r>
        <w:rPr>
          <w:rFonts w:ascii="Calibri" w:hAnsi="Calibri"/>
          <w:b/>
          <w:color w:val="1E1E1E"/>
          <w:sz w:val="16"/>
        </w:rPr>
        <w:t xml:space="preserve">Main Findings: </w:t>
      </w:r>
      <w:r>
        <w:rPr>
          <w:rFonts w:ascii="Calibri" w:hAnsi="Calibri"/>
          <w:color w:val="1E1E1E"/>
          <w:sz w:val="16"/>
        </w:rPr>
        <w:t>Lowest-price, single-winner tenders eliminate supply redundancy, driving manufacturer exits. Multi-winner split contracts and safety buffers reduce shortage durations by 40–55%, provided price ceilings cover inventory holding costs.</w:t>
      </w:r>
    </w:p>
    <w:p>
      <w:pPr>
        <w:spacing w:before="0" w:after="24" w:line="240" w:lineRule="auto"/>
        <w:jc w:val="left"/>
      </w:pPr>
      <w:r>
        <w:rPr>
          <w:rFonts w:ascii="Calibri" w:hAnsi="Calibri"/>
          <w:b/>
          <w:color w:val="1E1E1E"/>
          <w:sz w:val="16"/>
        </w:rPr>
        <w:t xml:space="preserve">Contribution to DSRDS: </w:t>
      </w:r>
      <w:r>
        <w:rPr>
          <w:rFonts w:ascii="Calibri" w:hAnsi="Calibri"/>
          <w:color w:val="1E1E1E"/>
          <w:sz w:val="16"/>
        </w:rPr>
        <w:t>Proves DSRDS cannot recommend alternative suppliers without verifying generic equivalence cluster capacity (Eşdeğer Grubu) and reimbursement pricing band viability.</w:t>
      </w:r>
    </w:p>
    <w:p>
      <w:pPr>
        <w:spacing w:before="0" w:after="24" w:line="240" w:lineRule="auto"/>
        <w:jc w:val="left"/>
      </w:pPr>
      <w:r>
        <w:rPr>
          <w:rFonts w:ascii="Calibri" w:hAnsi="Calibri"/>
          <w:b/>
          <w:color w:val="1E1E1E"/>
          <w:sz w:val="16"/>
        </w:rPr>
        <w:t xml:space="preserve">Applicability to Türkiye: </w:t>
      </w:r>
      <w:r>
        <w:rPr>
          <w:rFonts w:ascii="Calibri" w:hAnsi="Calibri"/>
          <w:color w:val="1E1E1E"/>
          <w:sz w:val="16"/>
        </w:rPr>
        <w:t>Closely mirrors Turkish reality: SGK enforces strict base-price equivalent reimbursement rules (+10% band). When a primary product falters, domestic generic producers often lack raw API quotas to absorb sudden demand surges.</w:t>
      </w:r>
    </w:p>
    <w:p>
      <w:pPr>
        <w:spacing w:before="80" w:after="30" w:line="240" w:lineRule="auto"/>
        <w:jc w:val="left"/>
      </w:pPr>
      <w:r>
        <w:rPr>
          <w:rFonts w:ascii="Calibri" w:hAnsi="Calibri"/>
          <w:b/>
          <w:color w:val="102C57"/>
          <w:sz w:val="19"/>
        </w:rPr>
        <w:t>2. Evidence-Based Realistic Constraints and Design Impact Matrix</w:t>
      </w:r>
    </w:p>
    <w:tbl>
      <w:tblPr>
        <w:tblW w:type="auto" w:w="0"/>
        <w:jc w:val="center"/>
        <w:tblLayout w:type="fixed"/>
        <w:tblLook w:firstColumn="1" w:firstRow="1" w:lastColumn="0" w:lastRow="0" w:noHBand="0" w:noVBand="1" w:val="04A0"/>
      </w:tblPr>
      <w:tblGrid>
        <w:gridCol w:w="2736"/>
        <w:gridCol w:w="2736"/>
        <w:gridCol w:w="2736"/>
        <w:gridCol w:w="2736"/>
      </w:tblGrid>
      <w:tr>
        <w:tc>
          <w:tcPr>
            <w:tcW w:type="dxa" w:w="1728"/>
            <w:shd w:fill="102C57"/>
          </w:tcPr>
          <w:p>
            <w:pPr>
              <w:spacing w:before="30" w:after="30" w:line="240" w:lineRule="auto"/>
              <w:jc w:val="center"/>
            </w:pPr>
            <w:r>
              <w:rPr>
                <w:rFonts w:ascii="Calibri" w:hAnsi="Calibri"/>
                <w:b/>
                <w:color w:val="FFFFFF"/>
                <w:sz w:val="15"/>
              </w:rPr>
              <w:t>Constraint Category</w:t>
            </w:r>
          </w:p>
        </w:tc>
        <w:tc>
          <w:tcPr>
            <w:tcW w:type="dxa" w:w="2592"/>
            <w:shd w:fill="102C57"/>
          </w:tcPr>
          <w:p>
            <w:pPr>
              <w:spacing w:before="30" w:after="30" w:line="240" w:lineRule="auto"/>
              <w:jc w:val="center"/>
            </w:pPr>
            <w:r>
              <w:rPr>
                <w:rFonts w:ascii="Calibri" w:hAnsi="Calibri"/>
                <w:b/>
                <w:color w:val="FFFFFF"/>
                <w:sz w:val="15"/>
              </w:rPr>
              <w:t>Supporting Evidence</w:t>
            </w:r>
          </w:p>
        </w:tc>
        <w:tc>
          <w:tcPr>
            <w:tcW w:type="dxa" w:w="3240"/>
            <w:shd w:fill="102C57"/>
          </w:tcPr>
          <w:p>
            <w:pPr>
              <w:spacing w:before="30" w:after="30" w:line="240" w:lineRule="auto"/>
              <w:jc w:val="center"/>
            </w:pPr>
            <w:r>
              <w:rPr>
                <w:rFonts w:ascii="Calibri" w:hAnsi="Calibri"/>
                <w:b/>
                <w:color w:val="FFFFFF"/>
                <w:sz w:val="15"/>
              </w:rPr>
              <w:t>Effect on DSRDS Design</w:t>
            </w:r>
          </w:p>
        </w:tc>
        <w:tc>
          <w:tcPr>
            <w:tcW w:type="dxa" w:w="3384"/>
            <w:shd w:fill="102C57"/>
          </w:tcPr>
          <w:p>
            <w:pPr>
              <w:spacing w:before="30" w:after="30" w:line="240" w:lineRule="auto"/>
              <w:jc w:val="center"/>
            </w:pPr>
            <w:r>
              <w:rPr>
                <w:rFonts w:ascii="Calibri" w:hAnsi="Calibri"/>
                <w:b/>
                <w:color w:val="FFFFFF"/>
                <w:sz w:val="15"/>
              </w:rPr>
              <w:t>Feasible Decision / System Limitation</w:t>
            </w:r>
          </w:p>
        </w:tc>
      </w:tr>
      <w:tr>
        <w:tc>
          <w:tcPr>
            <w:tcW w:type="dxa" w:w="1728"/>
            <w:shd w:fill="F8F9FA"/>
          </w:tcPr>
          <w:p>
            <w:pPr>
              <w:spacing w:before="20" w:after="20" w:line="240" w:lineRule="auto"/>
              <w:jc w:val="left"/>
            </w:pPr>
            <w:r>
              <w:rPr>
                <w:rFonts w:ascii="Calibri" w:hAnsi="Calibri"/>
                <w:color w:val="1E1E1E"/>
                <w:sz w:val="14"/>
              </w:rPr>
              <w:t>Technical &amp; Data Observability</w:t>
            </w:r>
          </w:p>
        </w:tc>
        <w:tc>
          <w:tcPr>
            <w:tcW w:type="dxa" w:w="2592"/>
            <w:shd w:fill="F8F9FA"/>
          </w:tcPr>
          <w:p>
            <w:pPr>
              <w:spacing w:before="20" w:after="20" w:line="240" w:lineRule="auto"/>
              <w:jc w:val="left"/>
            </w:pPr>
            <w:r>
              <w:rPr>
                <w:rFonts w:ascii="Calibri" w:hAnsi="Calibri"/>
                <w:color w:val="1E1E1E"/>
                <w:sz w:val="14"/>
              </w:rPr>
              <w:t>Pall et al. (2023) show absence of upstream data caps 1-month ML accuracy at 69%; Tucker &amp; Daskin (2022) note unobservable plant disruptions.</w:t>
            </w:r>
          </w:p>
        </w:tc>
        <w:tc>
          <w:tcPr>
            <w:tcW w:type="dxa" w:w="3240"/>
            <w:shd w:fill="F8F9FA"/>
          </w:tcPr>
          <w:p>
            <w:pPr>
              <w:spacing w:before="20" w:after="20" w:line="240" w:lineRule="auto"/>
              <w:jc w:val="left"/>
            </w:pPr>
            <w:r>
              <w:rPr>
                <w:rFonts w:ascii="Calibri" w:hAnsi="Calibri"/>
                <w:color w:val="1E1E1E"/>
                <w:sz w:val="14"/>
              </w:rPr>
              <w:t>DSRDS cannot predict exact stockout dates; must rely on probabilistic risk scoring based on proxy indicators and international shortage alerts.</w:t>
            </w:r>
          </w:p>
        </w:tc>
        <w:tc>
          <w:tcPr>
            <w:tcW w:type="dxa" w:w="3384"/>
            <w:shd w:fill="F8F9FA"/>
          </w:tcPr>
          <w:p>
            <w:pPr>
              <w:spacing w:before="20" w:after="20" w:line="240" w:lineRule="auto"/>
              <w:jc w:val="left"/>
            </w:pPr>
            <w:r>
              <w:rPr>
                <w:rFonts w:ascii="Calibri" w:hAnsi="Calibri"/>
                <w:color w:val="1E1E1E"/>
                <w:sz w:val="14"/>
              </w:rPr>
              <w:t>Feasible: Classify medicines into Relative Risk Tiers (High/Med/Low).</w:t>
              <w:br/>
              <w:t>Limitation: Cannot report actual on-hand stock or guarantee precision.</w:t>
            </w:r>
          </w:p>
        </w:tc>
      </w:tr>
      <w:tr>
        <w:tc>
          <w:tcPr>
            <w:tcW w:type="dxa" w:w="1728"/>
            <w:shd w:fill="FFFFFF"/>
          </w:tcPr>
          <w:p>
            <w:pPr>
              <w:spacing w:before="20" w:after="20" w:line="240" w:lineRule="auto"/>
              <w:jc w:val="left"/>
            </w:pPr>
            <w:r>
              <w:rPr>
                <w:rFonts w:ascii="Calibri" w:hAnsi="Calibri"/>
                <w:color w:val="1E1E1E"/>
                <w:sz w:val="14"/>
              </w:rPr>
              <w:t>Operational &amp; Sourcing</w:t>
            </w:r>
          </w:p>
        </w:tc>
        <w:tc>
          <w:tcPr>
            <w:tcW w:type="dxa" w:w="2592"/>
            <w:shd w:fill="FFFFFF"/>
          </w:tcPr>
          <w:p>
            <w:pPr>
              <w:spacing w:before="20" w:after="20" w:line="240" w:lineRule="auto"/>
              <w:jc w:val="left"/>
            </w:pPr>
            <w:r>
              <w:rPr>
                <w:rFonts w:ascii="Calibri" w:hAnsi="Calibri"/>
                <w:color w:val="1E1E1E"/>
                <w:sz w:val="14"/>
              </w:rPr>
              <w:t>Tucker &amp; Daskin (2022) prove dual-sourcing requires lead times; Yaroson et al. (2021) document Asian API single-source dependencies.</w:t>
            </w:r>
          </w:p>
        </w:tc>
        <w:tc>
          <w:tcPr>
            <w:tcW w:type="dxa" w:w="3240"/>
            <w:shd w:fill="FFFFFF"/>
          </w:tcPr>
          <w:p>
            <w:pPr>
              <w:spacing w:before="20" w:after="20" w:line="240" w:lineRule="auto"/>
              <w:jc w:val="left"/>
            </w:pPr>
            <w:r>
              <w:rPr>
                <w:rFonts w:ascii="Calibri" w:hAnsi="Calibri"/>
                <w:color w:val="1E1E1E"/>
                <w:sz w:val="14"/>
              </w:rPr>
              <w:t>System cannot assume immediate alternate supply; alternative sourcing must account for supplier switching latencies and market production capacity.</w:t>
            </w:r>
          </w:p>
        </w:tc>
        <w:tc>
          <w:tcPr>
            <w:tcW w:type="dxa" w:w="3384"/>
            <w:shd w:fill="FFFFFF"/>
          </w:tcPr>
          <w:p>
            <w:pPr>
              <w:spacing w:before="20" w:after="20" w:line="240" w:lineRule="auto"/>
              <w:jc w:val="left"/>
            </w:pPr>
            <w:r>
              <w:rPr>
                <w:rFonts w:ascii="Calibri" w:hAnsi="Calibri"/>
                <w:color w:val="1E1E1E"/>
                <w:sz w:val="14"/>
              </w:rPr>
              <w:t>Feasible: Identify approved generics in SGK Eşdeğer Grubu.</w:t>
              <w:br/>
              <w:t>Limitation: Cannot verify if alternative suppliers possess physical stock.</w:t>
            </w:r>
          </w:p>
        </w:tc>
      </w:tr>
      <w:tr>
        <w:tc>
          <w:tcPr>
            <w:tcW w:type="dxa" w:w="1728"/>
            <w:shd w:fill="F8F9FA"/>
          </w:tcPr>
          <w:p>
            <w:pPr>
              <w:spacing w:before="20" w:after="20" w:line="240" w:lineRule="auto"/>
              <w:jc w:val="left"/>
            </w:pPr>
            <w:r>
              <w:rPr>
                <w:rFonts w:ascii="Calibri" w:hAnsi="Calibri"/>
                <w:color w:val="1E1E1E"/>
                <w:sz w:val="14"/>
              </w:rPr>
              <w:t>Economic &amp; Pricing</w:t>
            </w:r>
          </w:p>
        </w:tc>
        <w:tc>
          <w:tcPr>
            <w:tcW w:type="dxa" w:w="2592"/>
            <w:shd w:fill="F8F9FA"/>
          </w:tcPr>
          <w:p>
            <w:pPr>
              <w:spacing w:before="20" w:after="20" w:line="240" w:lineRule="auto"/>
              <w:jc w:val="left"/>
            </w:pPr>
            <w:r>
              <w:rPr>
                <w:rFonts w:ascii="Calibri" w:hAnsi="Calibri"/>
                <w:color w:val="1E1E1E"/>
                <w:sz w:val="14"/>
              </w:rPr>
              <w:t>Ahlqvist et al. (2022) show fixed lowest-price ceilings disincentivize holding buffer inventories and trigger product discontinuations.</w:t>
            </w:r>
          </w:p>
        </w:tc>
        <w:tc>
          <w:tcPr>
            <w:tcW w:type="dxa" w:w="3240"/>
            <w:shd w:fill="F8F9FA"/>
          </w:tcPr>
          <w:p>
            <w:pPr>
              <w:spacing w:before="20" w:after="20" w:line="240" w:lineRule="auto"/>
              <w:jc w:val="left"/>
            </w:pPr>
            <w:r>
              <w:rPr>
                <w:rFonts w:ascii="Calibri" w:hAnsi="Calibri"/>
                <w:color w:val="1E1E1E"/>
                <w:sz w:val="14"/>
              </w:rPr>
              <w:t>System cannot propose import solutions without flagging reimbursement barriers under SGK Health Implementation Communiqué (SUT Ek-4/A).</w:t>
            </w:r>
          </w:p>
        </w:tc>
        <w:tc>
          <w:tcPr>
            <w:tcW w:type="dxa" w:w="3384"/>
            <w:shd w:fill="F8F9FA"/>
          </w:tcPr>
          <w:p>
            <w:pPr>
              <w:spacing w:before="20" w:after="20" w:line="240" w:lineRule="auto"/>
              <w:jc w:val="left"/>
            </w:pPr>
            <w:r>
              <w:rPr>
                <w:rFonts w:ascii="Calibri" w:hAnsi="Calibri"/>
                <w:color w:val="1E1E1E"/>
                <w:sz w:val="14"/>
              </w:rPr>
              <w:t>Feasible: Display domestic vs. imported status and price-band tier.</w:t>
              <w:br/>
              <w:t>Limitation: Cannot optimize procurement cost due to closed wholesale margins.</w:t>
            </w:r>
          </w:p>
        </w:tc>
      </w:tr>
      <w:tr>
        <w:tc>
          <w:tcPr>
            <w:tcW w:type="dxa" w:w="1728"/>
            <w:shd w:fill="FFFFFF"/>
          </w:tcPr>
          <w:p>
            <w:pPr>
              <w:spacing w:before="20" w:after="20" w:line="240" w:lineRule="auto"/>
              <w:jc w:val="left"/>
            </w:pPr>
            <w:r>
              <w:rPr>
                <w:rFonts w:ascii="Calibri" w:hAnsi="Calibri"/>
                <w:color w:val="1E1E1E"/>
                <w:sz w:val="14"/>
              </w:rPr>
              <w:t>Logistics &amp; Geopolitics</w:t>
            </w:r>
          </w:p>
        </w:tc>
        <w:tc>
          <w:tcPr>
            <w:tcW w:type="dxa" w:w="2592"/>
            <w:shd w:fill="FFFFFF"/>
          </w:tcPr>
          <w:p>
            <w:pPr>
              <w:spacing w:before="20" w:after="20" w:line="240" w:lineRule="auto"/>
              <w:jc w:val="left"/>
            </w:pPr>
            <w:r>
              <w:rPr>
                <w:rFonts w:ascii="Calibri" w:hAnsi="Calibri"/>
                <w:color w:val="1E1E1E"/>
                <w:sz w:val="14"/>
              </w:rPr>
              <w:t>IMF PortWatch (2024) and Yaroson et al. (2021) record maritime transit shocks (Bab el-Mandeb: ~64% drop, +16 days delay around Africa).</w:t>
            </w:r>
          </w:p>
        </w:tc>
        <w:tc>
          <w:tcPr>
            <w:tcW w:type="dxa" w:w="3240"/>
            <w:shd w:fill="FFFFFF"/>
          </w:tcPr>
          <w:p>
            <w:pPr>
              <w:spacing w:before="20" w:after="20" w:line="240" w:lineRule="auto"/>
              <w:jc w:val="left"/>
            </w:pPr>
            <w:r>
              <w:rPr>
                <w:rFonts w:ascii="Calibri" w:hAnsi="Calibri"/>
                <w:color w:val="1E1E1E"/>
                <w:sz w:val="14"/>
              </w:rPr>
              <w:t>System must incorporate macro trade reliance (TÜİK HS 3004/29) as a vulnerability modifier rather than assuming live container-level tracking.</w:t>
            </w:r>
          </w:p>
        </w:tc>
        <w:tc>
          <w:tcPr>
            <w:tcW w:type="dxa" w:w="3384"/>
            <w:shd w:fill="FFFFFF"/>
          </w:tcPr>
          <w:p>
            <w:pPr>
              <w:spacing w:before="20" w:after="20" w:line="240" w:lineRule="auto"/>
              <w:jc w:val="left"/>
            </w:pPr>
            <w:r>
              <w:rPr>
                <w:rFonts w:ascii="Calibri" w:hAnsi="Calibri"/>
                <w:color w:val="1E1E1E"/>
                <w:sz w:val="14"/>
              </w:rPr>
              <w:t>Feasible: Run disruption scenario simulations (e.g., +15 days maritime delay).</w:t>
              <w:br/>
              <w:t>Limitation: Cannot monitor individual cargo manifests or live shipment GPS.</w:t>
            </w:r>
          </w:p>
        </w:tc>
      </w:tr>
      <w:tr>
        <w:tc>
          <w:tcPr>
            <w:tcW w:type="dxa" w:w="1728"/>
            <w:shd w:fill="F8F9FA"/>
          </w:tcPr>
          <w:p>
            <w:pPr>
              <w:spacing w:before="20" w:after="20" w:line="240" w:lineRule="auto"/>
              <w:jc w:val="left"/>
            </w:pPr>
            <w:r>
              <w:rPr>
                <w:rFonts w:ascii="Calibri" w:hAnsi="Calibri"/>
                <w:color w:val="1E1E1E"/>
                <w:sz w:val="14"/>
              </w:rPr>
              <w:t>Safety, Clinical &amp; Ethics</w:t>
            </w:r>
          </w:p>
        </w:tc>
        <w:tc>
          <w:tcPr>
            <w:tcW w:type="dxa" w:w="2592"/>
            <w:shd w:fill="F8F9FA"/>
          </w:tcPr>
          <w:p>
            <w:pPr>
              <w:spacing w:before="20" w:after="20" w:line="240" w:lineRule="auto"/>
              <w:jc w:val="left"/>
            </w:pPr>
            <w:r>
              <w:rPr>
                <w:rFonts w:ascii="Calibri" w:hAnsi="Calibri"/>
                <w:color w:val="1E1E1E"/>
                <w:sz w:val="14"/>
              </w:rPr>
              <w:t>Green-prescription psychotropics (benzodiazepines, stimulants) carry severe addiction/withdrawal risks and strict legal dispensing circulars.</w:t>
            </w:r>
          </w:p>
        </w:tc>
        <w:tc>
          <w:tcPr>
            <w:tcW w:type="dxa" w:w="3240"/>
            <w:shd w:fill="F8F9FA"/>
          </w:tcPr>
          <w:p>
            <w:pPr>
              <w:spacing w:before="20" w:after="20" w:line="240" w:lineRule="auto"/>
              <w:jc w:val="left"/>
            </w:pPr>
            <w:r>
              <w:rPr>
                <w:rFonts w:ascii="Calibri" w:hAnsi="Calibri"/>
                <w:color w:val="1E1E1E"/>
                <w:sz w:val="14"/>
              </w:rPr>
              <w:t>System must strictly operate as a logistics/inventory decision-support tool; must never suggest therapeutic molecule substitution or autonomous clinical action.</w:t>
            </w:r>
          </w:p>
        </w:tc>
        <w:tc>
          <w:tcPr>
            <w:tcW w:type="dxa" w:w="3384"/>
            <w:shd w:fill="F8F9FA"/>
          </w:tcPr>
          <w:p>
            <w:pPr>
              <w:spacing w:before="20" w:after="20" w:line="240" w:lineRule="auto"/>
              <w:jc w:val="left"/>
            </w:pPr>
            <w:r>
              <w:rPr>
                <w:rFonts w:ascii="Calibri" w:hAnsi="Calibri"/>
                <w:color w:val="1E1E1E"/>
                <w:sz w:val="14"/>
              </w:rPr>
              <w:t>Feasible: Alert pharmacies to prioritize critical continuity patients.</w:t>
              <w:br/>
              <w:t>Limitation: Molecule substitution strictly reserved for human physicians/pharmacists.</w:t>
            </w:r>
          </w:p>
        </w:tc>
      </w:tr>
      <w:tr>
        <w:tc>
          <w:tcPr>
            <w:tcW w:type="dxa" w:w="1728"/>
            <w:shd w:fill="FFFFFF"/>
          </w:tcPr>
          <w:p>
            <w:pPr>
              <w:spacing w:before="20" w:after="20" w:line="240" w:lineRule="auto"/>
              <w:jc w:val="left"/>
            </w:pPr>
            <w:r>
              <w:rPr>
                <w:rFonts w:ascii="Calibri" w:hAnsi="Calibri"/>
                <w:color w:val="1E1E1E"/>
                <w:sz w:val="14"/>
              </w:rPr>
              <w:t>Institutional &amp; Legal</w:t>
            </w:r>
          </w:p>
        </w:tc>
        <w:tc>
          <w:tcPr>
            <w:tcW w:type="dxa" w:w="2592"/>
            <w:shd w:fill="FFFFFF"/>
          </w:tcPr>
          <w:p>
            <w:pPr>
              <w:spacing w:before="20" w:after="20" w:line="240" w:lineRule="auto"/>
              <w:jc w:val="left"/>
            </w:pPr>
            <w:r>
              <w:rPr>
                <w:rFonts w:ascii="Calibri" w:hAnsi="Calibri"/>
                <w:color w:val="1E1E1E"/>
                <w:sz w:val="14"/>
              </w:rPr>
              <w:t>TİTCK maintains statutory monopoly over controlled drug circulars; SGK governs reimbursement; national İTS data remain confidential.</w:t>
            </w:r>
          </w:p>
        </w:tc>
        <w:tc>
          <w:tcPr>
            <w:tcW w:type="dxa" w:w="3240"/>
            <w:shd w:fill="FFFFFF"/>
          </w:tcPr>
          <w:p>
            <w:pPr>
              <w:spacing w:before="20" w:after="20" w:line="240" w:lineRule="auto"/>
              <w:jc w:val="left"/>
            </w:pPr>
            <w:r>
              <w:rPr>
                <w:rFonts w:ascii="Calibri" w:hAnsi="Calibri"/>
                <w:color w:val="1E1E1E"/>
                <w:sz w:val="14"/>
              </w:rPr>
              <w:t>DSRDS outputs are advisory decision-support aids and do not supersede official TİTCK circulars, Overseas Drug Lists, or SGK reimbursement mandates.</w:t>
            </w:r>
          </w:p>
        </w:tc>
        <w:tc>
          <w:tcPr>
            <w:tcW w:type="dxa" w:w="3384"/>
            <w:shd w:fill="FFFFFF"/>
          </w:tcPr>
          <w:p>
            <w:pPr>
              <w:spacing w:before="20" w:after="20" w:line="240" w:lineRule="auto"/>
              <w:jc w:val="left"/>
            </w:pPr>
            <w:r>
              <w:rPr>
                <w:rFonts w:ascii="Calibri" w:hAnsi="Calibri"/>
                <w:color w:val="1E1E1E"/>
                <w:sz w:val="14"/>
              </w:rPr>
              <w:t>Feasible: Cross-reference verified TİTCK/SGK registry identifiers.</w:t>
              <w:br/>
              <w:t>Limitation: No legal authority; decision rights remain with human pharmacists.</w:t>
            </w:r>
          </w:p>
        </w:tc>
      </w:tr>
    </w:tbl>
    <w:p>
      <w:pPr>
        <w:spacing w:before="80" w:after="30" w:line="240" w:lineRule="auto"/>
        <w:jc w:val="left"/>
      </w:pPr>
      <w:r>
        <w:rPr>
          <w:rFonts w:ascii="Calibri" w:hAnsi="Calibri"/>
          <w:b/>
          <w:color w:val="102C57"/>
          <w:sz w:val="19"/>
        </w:rPr>
        <w:t>3. Alignment with DSRDS Capabilities &amp; Concluding Design Implications</w:t>
      </w:r>
    </w:p>
    <w:p>
      <w:pPr>
        <w:spacing w:before="0" w:after="40" w:line="245" w:lineRule="auto"/>
        <w:jc w:val="left"/>
      </w:pPr>
      <w:r>
        <w:rPr>
          <w:rFonts w:ascii="Calibri" w:hAnsi="Calibri"/>
          <w:b/>
          <w:color w:val="1E1E1E"/>
          <w:sz w:val="16"/>
        </w:rPr>
        <w:t xml:space="preserve">Synthesis of Design Capabilities: </w:t>
      </w:r>
      <w:r>
        <w:rPr>
          <w:rFonts w:ascii="Calibri" w:hAnsi="Calibri"/>
          <w:color w:val="1E1E1E"/>
          <w:sz w:val="16"/>
        </w:rPr>
        <w:t>The literature directly validates DSRDS’s positioning as a Decision Support System rather than an automated procurement agent. (1) Scope &amp; Identification: Anchoring on official TİTCK circulars and SGK Annex 4/A guarantees ground truth while bounding identifier complexity (GTIN barcodes, WHO ATC, INN). (2) Risk Scoring &amp; Factor Explanation: Lacking factory-floor sensor feeds, DSRDS uses composite proxy scoring (supplier concentration, FDA/EMA shortage transfer learning, and TÜİK macro-import reliance). (3) Uncertainty &amp; Scenario Simulation: Because multi-tier PSCs behave unpredictably (Yaroson et al., 2021), DSRDS provides hypothetical 'what-if' simulators while explicitly reporting missing data and assumptions. (4) Human-in-the-Loop: Because controlled psychotropics involve severe regulatory and clinical hazards, mitigation options are strictly advisory, preserving human pharmacist decision authority.</w:t>
      </w:r>
    </w:p>
    <w:p>
      <w:pPr>
        <w:spacing w:before="0" w:after="50" w:line="245" w:lineRule="auto"/>
        <w:jc w:val="left"/>
      </w:pPr>
      <w:r>
        <w:rPr>
          <w:rFonts w:ascii="Calibri" w:hAnsi="Calibri"/>
          <w:b/>
          <w:color w:val="1E1E1E"/>
          <w:sz w:val="16"/>
        </w:rPr>
        <w:t xml:space="preserve">Conclusion for Task 6 Specification: </w:t>
      </w:r>
      <w:r>
        <w:rPr>
          <w:rFonts w:ascii="Calibri" w:hAnsi="Calibri"/>
          <w:color w:val="1E1E1E"/>
          <w:sz w:val="16"/>
        </w:rPr>
        <w:t>Designing DSRDS within realistic engineering constraints requires acknowledging data boundaries: without real-time inventory and supplier proprietary manifests, the system cannot eliminate uncertainty or guarantee medicine availability. Instead, by synthesizing verified national registries, international shortage causality proxies, and macro-trade dependencies into transparent, human-reviewed decision-support metrics, DSRDS maximizes actionable operational intelligence while adhering rigorously to ethical, legal, and public health boundaries.</w:t>
      </w:r>
    </w:p>
    <w:p>
      <w:pPr>
        <w:spacing w:before="80" w:after="30" w:line="240" w:lineRule="auto"/>
        <w:jc w:val="left"/>
      </w:pPr>
      <w:r>
        <w:rPr>
          <w:rFonts w:ascii="Calibri" w:hAnsi="Calibri"/>
          <w:b/>
          <w:color w:val="102C57"/>
          <w:sz w:val="19"/>
        </w:rPr>
        <w:t>4. References</w:t>
      </w:r>
    </w:p>
    <w:p>
      <w:pPr>
        <w:spacing w:before="16" w:after="24" w:line="240" w:lineRule="auto"/>
        <w:ind w:left="288" w:hanging="288"/>
        <w:jc w:val="left"/>
      </w:pPr>
      <w:r>
        <w:rPr>
          <w:rFonts w:ascii="Calibri" w:hAnsi="Calibri"/>
          <w:color w:val="1E1E1E"/>
          <w:sz w:val="14"/>
        </w:rPr>
        <w:t>Ahlqvist, V., Dube, N., Jahre, M., Lee, J. S., Melaku, T., Moe, A. F., Olivier, M., Selviaridis, K., Viana, J., &amp; Aardal, C. (2022). Supply chain risk management strategies in normal and abnormal times: Policymakers' role in reducing generic medicine shortages. Int. J. of Physical Distribution &amp; Logistics Management, 53(2), 206–230. https://doi.org/10.1108/IJPDLM-12-2021-0511</w:t>
      </w:r>
    </w:p>
    <w:p>
      <w:pPr>
        <w:spacing w:before="16" w:after="24" w:line="240" w:lineRule="auto"/>
        <w:ind w:left="288" w:hanging="288"/>
        <w:jc w:val="left"/>
      </w:pPr>
      <w:r>
        <w:rPr>
          <w:rFonts w:ascii="Calibri" w:hAnsi="Calibri"/>
          <w:color w:val="1E1E1E"/>
          <w:sz w:val="14"/>
        </w:rPr>
        <w:t>Pall, R., Gauthier, Y., Auer, S., &amp; Mowaswes, W. (2023). Predicting drug shortages using pharmacy data and machine learning. Health Care Management Science, 26(3), 395–411. https://doi.org/10.1007/s10729-022-09627-y</w:t>
      </w:r>
    </w:p>
    <w:p>
      <w:pPr>
        <w:spacing w:before="16" w:after="24" w:line="240" w:lineRule="auto"/>
        <w:ind w:left="288" w:hanging="288"/>
        <w:jc w:val="left"/>
      </w:pPr>
      <w:r>
        <w:rPr>
          <w:rFonts w:ascii="Calibri" w:hAnsi="Calibri"/>
          <w:color w:val="1E1E1E"/>
          <w:sz w:val="14"/>
        </w:rPr>
        <w:t>Tucker, E. L., &amp; Daskin, M. S. (2022). Pharmaceutical supply chain reliability and effects on drug shortages. Computers &amp; Industrial Engineering, 169, 108258. https://doi.org/10.1016/j.cie.2022.108258</w:t>
      </w:r>
    </w:p>
    <w:p>
      <w:pPr>
        <w:spacing w:before="16" w:after="24" w:line="240" w:lineRule="auto"/>
        <w:ind w:left="288" w:hanging="288"/>
        <w:jc w:val="left"/>
      </w:pPr>
      <w:r>
        <w:rPr>
          <w:rFonts w:ascii="Calibri" w:hAnsi="Calibri"/>
          <w:color w:val="1E1E1E"/>
          <w:sz w:val="14"/>
        </w:rPr>
        <w:t>Yaroson, E. V., Breen, L., Hou, J., &amp; Sowter, J. (2021). Advancing the understanding of pharmaceutical supply chain resilience using complex adaptive system (CAS) theory. Supply Chain Management: An International Journal, 26(3), 323–340. https://doi.org/10.1108/SCM-05-2019-0184</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