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04AF" w14:textId="77777777" w:rsidR="00824220" w:rsidRDefault="00000000">
      <w:pPr>
        <w:pStyle w:val="Titre1"/>
      </w:pPr>
      <w:proofErr w:type="gramStart"/>
      <w:r>
        <w:t>1  Introduction</w:t>
      </w:r>
      <w:proofErr w:type="gramEnd"/>
    </w:p>
    <w:p w14:paraId="38AC8BC3" w14:textId="77777777" w:rsidR="00824220" w:rsidRDefault="00000000">
      <w:pPr>
        <w:spacing w:after="160"/>
      </w:pPr>
      <w:r>
        <w:t>L’intégration continue (CI) est une pratique centrale de l’ingénierie logicielle moderne : les développeurs fusionnent fréquemment leurs modifications dans un dépôt partagé, déclenchant automatiquement des processus de compilation et de test. Introduite initialement pour réduire les conflits d’intégration et accélérer les cycles de rétroaction, la CI est aujourd’hui généralisée dans les projets open-source comme dans l’industrie [8]. Toutefois, à mesure que la taille des projets et la complexité organisationnelle augmentent, les pipelines CI peuvent évoluer vers des systèmes intrication composés de dizaines d’étapes interdites, d’environnements hétérogènes et de cadres de test variés, rendant leur compréhension, leur maintenance et leur évolution de plus en plus difficiles [29].</w:t>
      </w:r>
    </w:p>
    <w:p w14:paraId="4E7A77AE" w14:textId="77777777" w:rsidR="00824220" w:rsidRDefault="00000000">
      <w:pPr>
        <w:spacing w:after="160"/>
      </w:pPr>
      <w:r>
        <w:t xml:space="preserve">Le problème que cette recherche adresse est l’absence de lignes directrices systématiques pour concevoir, modéliser et gérer des pipelines CI complexes de manière à préserver leur scalabilité et leur maintenabilité sur le long terme. Si de nombreux travaux ont caractérisé les mauvaises pratiques et </w:t>
      </w:r>
      <w:proofErr w:type="spellStart"/>
      <w:r>
        <w:t>anti-patrons</w:t>
      </w:r>
      <w:proofErr w:type="spellEnd"/>
      <w:r>
        <w:t xml:space="preserve"> qui s’accumulent dans les configurations CI [7, 29], peu d’attention a été portée à des cadres prescriptifs combinant la modélisation systématique des flux de travail et la philosophie de la Configuration-en-tant-que-Code (</w:t>
      </w:r>
      <w:proofErr w:type="spellStart"/>
      <w:r>
        <w:t>CaC</w:t>
      </w:r>
      <w:proofErr w:type="spellEnd"/>
      <w:r>
        <w:t>) pour prévenir proactivement cette dégradation.</w:t>
      </w:r>
    </w:p>
    <w:p w14:paraId="4B4E1EC2" w14:textId="77777777" w:rsidR="00824220" w:rsidRDefault="00000000">
      <w:pPr>
        <w:spacing w:after="80"/>
      </w:pPr>
      <w:r>
        <w:rPr>
          <w:b/>
          <w:bCs/>
          <w:u w:val="single"/>
        </w:rPr>
        <w:t>Portée.</w:t>
      </w:r>
      <w:r>
        <w:t xml:space="preserve"> Cette recherche se concentre sur trois préoccupations liées : (i) l’identification des exigences complexes des pipelines dans des projets impliquant des environnements variables, des modules interdits et plusieurs cadres de test ; (ii) la modélisation systématique des flux de travail CI avant leur mise en œuvre à grande échelle ; (iii) la gestion des configurations CI via le paradigme </w:t>
      </w:r>
      <w:proofErr w:type="spellStart"/>
      <w:r>
        <w:t>CaC</w:t>
      </w:r>
      <w:proofErr w:type="spellEnd"/>
      <w:r>
        <w:t xml:space="preserve">. La recherche n’aborde pas le développement interne ni l’évaluation comparative des outils CI eux-mêmes (Jenkins, GitHub Actions, </w:t>
      </w:r>
      <w:proofErr w:type="spellStart"/>
      <w:r>
        <w:t>GitLab</w:t>
      </w:r>
      <w:proofErr w:type="spellEnd"/>
      <w:r>
        <w:t xml:space="preserve"> CI) en tant que produits logiciels, ni les étapes de déploiement ou d’exploitation au-delà de la frontière CI. Le périmètre empirique couvre des projets open-source hébergés sur GitHub et </w:t>
      </w:r>
      <w:proofErr w:type="spellStart"/>
      <w:r>
        <w:t>GitLab</w:t>
      </w:r>
      <w:proofErr w:type="spellEnd"/>
      <w:r>
        <w:t xml:space="preserve">, en utilisant Travis CI, GitHub Actions et </w:t>
      </w:r>
      <w:proofErr w:type="spellStart"/>
      <w:r>
        <w:t>GitLab</w:t>
      </w:r>
      <w:proofErr w:type="spellEnd"/>
      <w:r>
        <w:t xml:space="preserve"> CI comme plateformes représentatives.</w:t>
      </w:r>
    </w:p>
    <w:p w14:paraId="0EFEDC6F" w14:textId="77777777" w:rsidR="00824220" w:rsidRDefault="00000000">
      <w:pPr>
        <w:spacing w:before="80" w:after="160"/>
      </w:pPr>
      <w:r>
        <w:rPr>
          <w:b/>
          <w:bCs/>
          <w:u w:val="single"/>
        </w:rPr>
        <w:t>Objectifs.</w:t>
      </w:r>
      <w:r>
        <w:t xml:space="preserve"> L’objectif principal est de démontrer, empiriquement et théoriquement, que la modélisation systématique et les pratiques </w:t>
      </w:r>
      <w:proofErr w:type="spellStart"/>
      <w:r>
        <w:t>CaC</w:t>
      </w:r>
      <w:proofErr w:type="spellEnd"/>
      <w:r>
        <w:t xml:space="preserve"> disciplinées mènent à des boucles de rétroaction plus rapides, des versions logicielles plus fiables et des configurations de pipeline plus maintenables. Sur le plan empirique, nous visons à quantifier la relation entre la présence d’artefacts de modélisation et la réduction des </w:t>
      </w:r>
      <w:proofErr w:type="spellStart"/>
      <w:r>
        <w:t>anti-patrons</w:t>
      </w:r>
      <w:proofErr w:type="spellEnd"/>
      <w:r>
        <w:t xml:space="preserve"> et des échecs de </w:t>
      </w:r>
      <w:proofErr w:type="spellStart"/>
      <w:r>
        <w:t>build</w:t>
      </w:r>
      <w:proofErr w:type="spellEnd"/>
      <w:r>
        <w:t xml:space="preserve">. Sur le plan théorique, nous cherchons à synthétiser un cadre conceptuel intégrant les principes de l’ingénierie dirigée par les modèles (IDM) avec la gouvernance </w:t>
      </w:r>
      <w:proofErr w:type="spellStart"/>
      <w:r>
        <w:t>CaC</w:t>
      </w:r>
      <w:proofErr w:type="spellEnd"/>
      <w:r>
        <w:t>, en s’appuyant sur les travaux existants de modélisation des pratiques CI [19] et d’architecture pour la livraison continue [18].</w:t>
      </w:r>
    </w:p>
    <w:p w14:paraId="625B4DA3" w14:textId="77777777" w:rsidR="00824220" w:rsidRDefault="00000000">
      <w:pPr>
        <w:pStyle w:val="Titre1"/>
      </w:pPr>
      <w:proofErr w:type="gramStart"/>
      <w:r>
        <w:t>2  Contexte</w:t>
      </w:r>
      <w:proofErr w:type="gramEnd"/>
    </w:p>
    <w:p w14:paraId="63BE52B6" w14:textId="77777777" w:rsidR="00824220" w:rsidRDefault="00000000">
      <w:pPr>
        <w:spacing w:after="160"/>
      </w:pPr>
      <w:r>
        <w:t>Deux concepts fondamentaux sous-tendent cette recherche et doivent être compris avant d’aborder les questions de recherche.</w:t>
      </w:r>
    </w:p>
    <w:p w14:paraId="1777EA8F" w14:textId="77777777" w:rsidR="00824220" w:rsidRDefault="00000000">
      <w:pPr>
        <w:pStyle w:val="Titre2"/>
      </w:pPr>
      <w:proofErr w:type="gramStart"/>
      <w:r>
        <w:t>2.1  Modélisation</w:t>
      </w:r>
      <w:proofErr w:type="gramEnd"/>
      <w:r>
        <w:t xml:space="preserve"> systématique des flux de travail CI</w:t>
      </w:r>
    </w:p>
    <w:p w14:paraId="6E6E2CA3" w14:textId="77777777" w:rsidR="00824220" w:rsidRDefault="00000000">
      <w:pPr>
        <w:spacing w:after="160"/>
      </w:pPr>
      <w:r>
        <w:t xml:space="preserve">La modélisation systématique désigne la pratique consistant à créer des représentations explicites et </w:t>
      </w:r>
      <w:proofErr w:type="spellStart"/>
      <w:r>
        <w:t>inspectables</w:t>
      </w:r>
      <w:proofErr w:type="spellEnd"/>
      <w:r>
        <w:t xml:space="preserve"> de la structure d’un pipeline CI, de sa logique de déclenchement, des dépendances entre étapes et des exigences d’environnement, avant ou en parallèle de l’implémentation. Ståhl et Bosch [19] ont proposé un modèle descriptif capturant les points de variation dans les pratiques CI de projets industriels, notamment la portée de l’intégration, les mécanismes de déclenchement et la fréquence d’intégration. Ce modèle fournit un </w:t>
      </w:r>
      <w:proofErr w:type="gramStart"/>
      <w:r>
        <w:lastRenderedPageBreak/>
        <w:t>vocabulaire</w:t>
      </w:r>
      <w:proofErr w:type="gramEnd"/>
      <w:r>
        <w:t xml:space="preserve"> fondateur pour raisonner sur la diversité de conception des pipelines. Plus récemment, Karlovs-Karlovskis et Nikiforova [9] ont introduit une approche IDM générant automatiquement des configurations de pipelines DevOps à partir de modèles d’architecture de haut niveau, illustrant le potentiel de la modélisation formelle pour réduire l’effort de configuration et les erreurs dans des environnements complexes multi-modules. Wimmer et al. [25] ont quant à eux démontré l’applicabilité des pipelines de transformation de modèles en ingénierie des systèmes de production, montrant que la modélisation systématique réduit l’effort de configuration lorsque des composants interdits sont impliqués.</w:t>
      </w:r>
    </w:p>
    <w:p w14:paraId="13B36E5E" w14:textId="77777777" w:rsidR="00824220" w:rsidRDefault="00000000">
      <w:pPr>
        <w:pStyle w:val="Titre2"/>
      </w:pPr>
      <w:proofErr w:type="gramStart"/>
      <w:r>
        <w:t>2.2  Configuration</w:t>
      </w:r>
      <w:proofErr w:type="gramEnd"/>
      <w:r>
        <w:t xml:space="preserve"> en tant que Code (</w:t>
      </w:r>
      <w:proofErr w:type="spellStart"/>
      <w:r>
        <w:t>CaC</w:t>
      </w:r>
      <w:proofErr w:type="spellEnd"/>
      <w:r>
        <w:t>)</w:t>
      </w:r>
    </w:p>
    <w:p w14:paraId="659DB715" w14:textId="77777777" w:rsidR="00824220" w:rsidRDefault="00000000">
      <w:pPr>
        <w:spacing w:after="160"/>
      </w:pPr>
      <w:r>
        <w:t>La Configuration en tant que Code (</w:t>
      </w:r>
      <w:proofErr w:type="spellStart"/>
      <w:r>
        <w:t>CaC</w:t>
      </w:r>
      <w:proofErr w:type="spellEnd"/>
      <w:r>
        <w:t xml:space="preserve">) est la pratique consistant à stocker et gérer les configurations d’infrastructure et de pipeline dans des fichiers source versés dans un système de contrôle de versions, en appliquant à la configuration les mêmes disciplines d’ingénierie que pour le code applicatif : revue de code, tests automatisés et suivi des modifications. Dans le contexte CI, la </w:t>
      </w:r>
      <w:proofErr w:type="spellStart"/>
      <w:r>
        <w:t>CaC</w:t>
      </w:r>
      <w:proofErr w:type="spellEnd"/>
      <w:r>
        <w:t xml:space="preserve"> se manifeste sous forme de fichiers YAML ou DSL (ex. </w:t>
      </w:r>
      <w:proofErr w:type="gramStart"/>
      <w:r>
        <w:t>: .</w:t>
      </w:r>
      <w:proofErr w:type="spellStart"/>
      <w:proofErr w:type="gramEnd"/>
      <w:r>
        <w:t>travis.yml</w:t>
      </w:r>
      <w:proofErr w:type="spellEnd"/>
      <w:proofErr w:type="gramStart"/>
      <w:r>
        <w:t>, .</w:t>
      </w:r>
      <w:proofErr w:type="spellStart"/>
      <w:proofErr w:type="gramEnd"/>
      <w:r>
        <w:t>gitlab-ci.yml</w:t>
      </w:r>
      <w:proofErr w:type="spellEnd"/>
      <w:r>
        <w:t xml:space="preserve">, fichiers de workflow GitHub Actions) définissant le pipeline de façon déclarative. Shahin et al. [17, 18] ont identifié la </w:t>
      </w:r>
      <w:proofErr w:type="spellStart"/>
      <w:r>
        <w:t>CaC</w:t>
      </w:r>
      <w:proofErr w:type="spellEnd"/>
      <w:r>
        <w:t xml:space="preserve"> comme un facteur clé de la livraison continue, permettant aux équipes de reproduire les pipelines de manière fiable à travers les environnements. Cependant, la </w:t>
      </w:r>
      <w:proofErr w:type="spellStart"/>
      <w:r>
        <w:t>CaC</w:t>
      </w:r>
      <w:proofErr w:type="spellEnd"/>
      <w:r>
        <w:t xml:space="preserve"> introduit également de nouveaux défis de maintenance : </w:t>
      </w:r>
      <w:proofErr w:type="spellStart"/>
      <w:r>
        <w:t>Gallaba</w:t>
      </w:r>
      <w:proofErr w:type="spellEnd"/>
      <w:r>
        <w:t xml:space="preserve"> et McIntosh [7] ont constaté que 48 % du code de configuration Travis CI est consacré à la configuration de l’environnement des tâches, et que la mauvaise utilisation des fonctionnalités CI est répandue. Vassallo et al. [22] ont en outre montré que les “odeurs de configuration”—des </w:t>
      </w:r>
      <w:proofErr w:type="spellStart"/>
      <w:r>
        <w:t>anti-patrons</w:t>
      </w:r>
      <w:proofErr w:type="spellEnd"/>
      <w:r>
        <w:t xml:space="preserve"> sémantiques dans les fichiers YAML de pipeline—peuvent être détectés avec une haute précision, confirmant que les fichiers </w:t>
      </w:r>
      <w:proofErr w:type="spellStart"/>
      <w:r>
        <w:t>CaC</w:t>
      </w:r>
      <w:proofErr w:type="spellEnd"/>
      <w:r>
        <w:t xml:space="preserve"> sont sujets à la même dégradation que le code applicatif s’ils ne sont pas gouvernés.</w:t>
      </w:r>
    </w:p>
    <w:p w14:paraId="6E857D8A" w14:textId="77777777" w:rsidR="00824220" w:rsidRDefault="00000000">
      <w:pPr>
        <w:pStyle w:val="Titre1"/>
      </w:pPr>
      <w:proofErr w:type="gramStart"/>
      <w:r>
        <w:t>3  Travaux</w:t>
      </w:r>
      <w:proofErr w:type="gramEnd"/>
      <w:r>
        <w:t xml:space="preserve"> connexes</w:t>
      </w:r>
    </w:p>
    <w:p w14:paraId="122DF9F7" w14:textId="77777777" w:rsidR="00824220" w:rsidRDefault="00000000">
      <w:pPr>
        <w:spacing w:after="160"/>
      </w:pPr>
      <w:r>
        <w:t>Notre recherche se situe à l’intersection de deux courants actifs de recherche CI/CD : la caractérisation empirique des problèmes de qualité des pipelines, et la conception prescriptive ou dirigée par les modèles de leurs architectures. Nous positionnons nos travaux par rapport aux études les plus pertinentes selon quatre axes de comparaison.</w:t>
      </w:r>
    </w:p>
    <w:p w14:paraId="08DB42B0" w14:textId="77777777" w:rsidR="00824220" w:rsidRDefault="00000000">
      <w:pPr>
        <w:spacing w:after="120"/>
      </w:pPr>
      <w:r>
        <w:rPr>
          <w:b/>
          <w:bCs/>
        </w:rPr>
        <w:t>Même problème, approche différente.</w:t>
      </w:r>
      <w:r>
        <w:t xml:space="preserve"> Zampetti et al. [29] et Vassallo et al. [22] traitent de la maintenabilité des pipelines CI—notre préoccupation centrale—mais exclusivement par la détection réactive de mauvaises pratiques et d’</w:t>
      </w:r>
      <w:proofErr w:type="spellStart"/>
      <w:r>
        <w:t>anti-patrons</w:t>
      </w:r>
      <w:proofErr w:type="spellEnd"/>
      <w:r>
        <w:t xml:space="preserve"> après leur apparition. Leurs outils (Gretel, CD-Linter, CI-Odor [21]) sont réactifs. Notre approche est proactive : elle utilise la modélisation systématique pour prévenir l’introduction d’</w:t>
      </w:r>
      <w:proofErr w:type="spellStart"/>
      <w:r>
        <w:t>anti-patrons</w:t>
      </w:r>
      <w:proofErr w:type="spellEnd"/>
      <w:r>
        <w:t xml:space="preserve"> dès la conception.</w:t>
      </w:r>
    </w:p>
    <w:p w14:paraId="5E9A1820" w14:textId="77777777" w:rsidR="00824220" w:rsidRDefault="00000000">
      <w:pPr>
        <w:spacing w:after="120"/>
      </w:pPr>
      <w:r>
        <w:rPr>
          <w:b/>
          <w:bCs/>
        </w:rPr>
        <w:t>Approche similaire, problème différent.</w:t>
      </w:r>
      <w:r>
        <w:t xml:space="preserve"> Karlovs-Karlovskis et Nikiforova [9] et Wimmer et al. [25] utilisent l’IDM pour générer des configurations de pipelines, mais se concentrent sur la réduction de l’effort de configuration dans des environnements de modélisation complexes, plutôt que sur la relation entre la discipline de modélisation et la maintenabilité ou la scalabilité des pipelines dans le temps.</w:t>
      </w:r>
    </w:p>
    <w:p w14:paraId="589C7AAF" w14:textId="77777777" w:rsidR="00824220" w:rsidRDefault="00000000">
      <w:pPr>
        <w:spacing w:after="120"/>
      </w:pPr>
      <w:r>
        <w:rPr>
          <w:b/>
          <w:bCs/>
        </w:rPr>
        <w:t>Même problème, même approche, objectif différent.</w:t>
      </w:r>
      <w:r>
        <w:t xml:space="preserve"> Shahin et al. [18] étudient comment les choix d’architecture logicielle affectent les pipelines de livraison continue et proposent un cadre conceptuel pour (re-)architecturer les systèmes. Leur objectif est l’adéquation architecturale ; le nôtre est la maintenabilité et la scalabilité des pipelines, avec un focus spécifique sur la couche de gouvernance </w:t>
      </w:r>
      <w:proofErr w:type="spellStart"/>
      <w:r>
        <w:t>CaC</w:t>
      </w:r>
      <w:proofErr w:type="spellEnd"/>
      <w:r>
        <w:t xml:space="preserve"> plutôt que sur la granularité des unités de déploiement.</w:t>
      </w:r>
    </w:p>
    <w:p w14:paraId="061B7D78" w14:textId="77777777" w:rsidR="00824220" w:rsidRDefault="00000000">
      <w:pPr>
        <w:spacing w:after="160"/>
      </w:pPr>
      <w:r>
        <w:rPr>
          <w:b/>
          <w:bCs/>
        </w:rPr>
        <w:lastRenderedPageBreak/>
        <w:t>Bases empiriques complémentaires.</w:t>
      </w:r>
      <w:r>
        <w:t xml:space="preserve"> Zampetti et al. [27] fournissent une taxonomie de 34 opérations de restructuration de pipelines CI/CD dérivée de plus de 250 000 </w:t>
      </w:r>
      <w:proofErr w:type="spellStart"/>
      <w:r>
        <w:t>commits</w:t>
      </w:r>
      <w:proofErr w:type="spellEnd"/>
      <w:r>
        <w:t xml:space="preserve">, et </w:t>
      </w:r>
      <w:proofErr w:type="spellStart"/>
      <w:r>
        <w:t>Gallaba</w:t>
      </w:r>
      <w:proofErr w:type="spellEnd"/>
      <w:r>
        <w:t xml:space="preserve"> et al. [6] offrent une vue opérationnelle sur huit ans de données </w:t>
      </w:r>
      <w:proofErr w:type="spellStart"/>
      <w:r>
        <w:t>CircleCI</w:t>
      </w:r>
      <w:proofErr w:type="spellEnd"/>
      <w:r>
        <w:t xml:space="preserve">. Ces études constituent la base de référence empirique par rapport à laquelle nous évaluerons si les pipelines conçus avec une modélisation explicite et une </w:t>
      </w:r>
      <w:proofErr w:type="spellStart"/>
      <w:r>
        <w:t>CaC</w:t>
      </w:r>
      <w:proofErr w:type="spellEnd"/>
      <w:r>
        <w:t xml:space="preserve"> disciplinée présentent une fréquence de restructuration plus faible et moins d’</w:t>
      </w:r>
      <w:proofErr w:type="spellStart"/>
      <w:r>
        <w:t>anti-patrons</w:t>
      </w:r>
      <w:proofErr w:type="spellEnd"/>
      <w:r>
        <w:t xml:space="preserve">. Les revues systématiques de Shahin et al. [17] et </w:t>
      </w:r>
      <w:proofErr w:type="spellStart"/>
      <w:r>
        <w:t>Laukkanen</w:t>
      </w:r>
      <w:proofErr w:type="spellEnd"/>
      <w:r>
        <w:t xml:space="preserve"> et al. [11] contextualisent par ailleurs les défis récurrents de configuration et de gestion des environnements que notre cadre cherche à résoudre.</w:t>
      </w:r>
    </w:p>
    <w:p w14:paraId="67A91BAA" w14:textId="77777777" w:rsidR="00824220" w:rsidRDefault="00000000">
      <w:pPr>
        <w:pStyle w:val="Titre1"/>
      </w:pPr>
      <w:proofErr w:type="gramStart"/>
      <w:r>
        <w:t>4  Questions</w:t>
      </w:r>
      <w:proofErr w:type="gramEnd"/>
      <w:r>
        <w:t xml:space="preserve"> de recherche</w:t>
      </w:r>
    </w:p>
    <w:p w14:paraId="5D973600" w14:textId="77777777" w:rsidR="00824220" w:rsidRDefault="00000000">
      <w:pPr>
        <w:spacing w:after="160"/>
      </w:pPr>
      <w:r>
        <w:rPr>
          <w:b/>
          <w:bCs/>
        </w:rPr>
        <w:t>RQ.1 – Comment la modélisation systématique et la gouvernance de la Configuration-en-tant-que-Code influencent-elles conjointement la scalabilité et la maintenabilité des pipelines CI complexes ?</w:t>
      </w:r>
    </w:p>
    <w:p w14:paraId="0CFF97C3" w14:textId="77777777" w:rsidR="00824220" w:rsidRDefault="00000000">
      <w:pPr>
        <w:spacing w:after="160"/>
      </w:pPr>
      <w:r>
        <w:t>Cette question de recherche cible le fossé entre les outils réactifs d’assurance qualité [21, 22, 29] et les disciplines proactives de conception [9, 18]. Elle est motivée par les preuves que les pipelines CI accumulent une dette technique à un rythme mesurable [27] et que les causes profondes de cette dégradation sont souvent traçables jusqu’aux choix de conception initiaux [6, 29]. Nous la décomposons en trois sous-questions couvrant respectivement la modélisation, la configuration et leur interaction.</w:t>
      </w:r>
    </w:p>
    <w:p w14:paraId="446DCDAF" w14:textId="77777777" w:rsidR="00824220" w:rsidRDefault="00000000">
      <w:pPr>
        <w:spacing w:after="80"/>
      </w:pPr>
      <w:r>
        <w:rPr>
          <w:b/>
          <w:bCs/>
        </w:rPr>
        <w:t xml:space="preserve">RQ.1.1 – </w:t>
      </w:r>
      <w:r>
        <w:t xml:space="preserve">Dans quelle mesure la modélisation systématique des flux de travail réduit-elle la fréquence des </w:t>
      </w:r>
      <w:proofErr w:type="spellStart"/>
      <w:r>
        <w:t>anti-patrons</w:t>
      </w:r>
      <w:proofErr w:type="spellEnd"/>
      <w:r>
        <w:t xml:space="preserve"> structurels dans les pipelines CI impliquant des environnements variables et des modules interdits ?</w:t>
      </w:r>
    </w:p>
    <w:p w14:paraId="4378951B" w14:textId="77777777" w:rsidR="00824220" w:rsidRDefault="00000000">
      <w:pPr>
        <w:spacing w:after="160"/>
      </w:pPr>
      <w:r>
        <w:t xml:space="preserve">Justification : Les pipelines complexes—impliquant plusieurs environnements, des étapes parallèles et des dépendances entre modules—sont </w:t>
      </w:r>
      <w:proofErr w:type="spellStart"/>
      <w:r>
        <w:t>disproportionnairement</w:t>
      </w:r>
      <w:proofErr w:type="spellEnd"/>
      <w:r>
        <w:t xml:space="preserve"> sujets à la dégradation structurelle [27, 29]. Ståhl et Bosch [19] ont montré que la variation dans la conception CI est largement pilotée par des exigences spécifiques au projet non modélisées, ce qui suggère que les rendre explicites par la modélisation pourrait prévenir le décalage entre l’intention de conception et la réalité de configuration. Cette sous-question contribue à RQ.1 en isolant la variable « modélisation ». Méthode : Nous </w:t>
      </w:r>
      <w:proofErr w:type="spellStart"/>
      <w:r>
        <w:t>menerons</w:t>
      </w:r>
      <w:proofErr w:type="spellEnd"/>
      <w:r>
        <w:t xml:space="preserve"> une analyse comparative de projets open-source GitHub utilisant des artefacts de transformation de modèles (ex. : modules </w:t>
      </w:r>
      <w:proofErr w:type="spellStart"/>
      <w:r>
        <w:t>Terraform</w:t>
      </w:r>
      <w:proofErr w:type="spellEnd"/>
      <w:r>
        <w:t xml:space="preserve">, workflows réutilisables GitHub Actions, </w:t>
      </w:r>
      <w:proofErr w:type="spellStart"/>
      <w:r>
        <w:t>templates</w:t>
      </w:r>
      <w:proofErr w:type="spellEnd"/>
      <w:r>
        <w:t xml:space="preserve"> </w:t>
      </w:r>
      <w:proofErr w:type="spellStart"/>
      <w:r>
        <w:t>GitLab</w:t>
      </w:r>
      <w:proofErr w:type="spellEnd"/>
      <w:r>
        <w:t xml:space="preserve"> CI) face à des projets appariés utilisant des configurations YAML monolithiques. La fréquence des </w:t>
      </w:r>
      <w:proofErr w:type="spellStart"/>
      <w:r>
        <w:t>anti-patrons</w:t>
      </w:r>
      <w:proofErr w:type="spellEnd"/>
      <w:r>
        <w:t xml:space="preserve"> sera mesurée via les taxonomies de Zampetti et al. [29] et Vassallo et al. [22], </w:t>
      </w:r>
      <w:proofErr w:type="spellStart"/>
      <w:r>
        <w:t>opérationalisées</w:t>
      </w:r>
      <w:proofErr w:type="spellEnd"/>
      <w:r>
        <w:t xml:space="preserve"> par CD-Linter et CI-Odor.</w:t>
      </w:r>
    </w:p>
    <w:p w14:paraId="03FD012F" w14:textId="77777777" w:rsidR="00824220" w:rsidRDefault="00000000">
      <w:pPr>
        <w:spacing w:after="80"/>
      </w:pPr>
      <w:r>
        <w:rPr>
          <w:b/>
          <w:bCs/>
        </w:rPr>
        <w:t xml:space="preserve">RQ.1.2 – </w:t>
      </w:r>
      <w:r>
        <w:t xml:space="preserve">Quel est l’impact des pratiques de gouvernance </w:t>
      </w:r>
      <w:proofErr w:type="spellStart"/>
      <w:r>
        <w:t>CaC</w:t>
      </w:r>
      <w:proofErr w:type="spellEnd"/>
      <w:r>
        <w:t xml:space="preserve"> (</w:t>
      </w:r>
      <w:proofErr w:type="spellStart"/>
      <w:r>
        <w:t>versionnement</w:t>
      </w:r>
      <w:proofErr w:type="spellEnd"/>
      <w:r>
        <w:t xml:space="preserve">, revue de code, utilisation de linters) sur l’accumulation d’odeurs de configuration et les échecs de </w:t>
      </w:r>
      <w:proofErr w:type="spellStart"/>
      <w:r>
        <w:t>build</w:t>
      </w:r>
      <w:proofErr w:type="spellEnd"/>
      <w:r>
        <w:t xml:space="preserve"> liés à des erreurs humaines dans les pipelines CI complexes ?</w:t>
      </w:r>
    </w:p>
    <w:p w14:paraId="1C23096B" w14:textId="77777777" w:rsidR="00824220" w:rsidRDefault="00000000">
      <w:pPr>
        <w:spacing w:after="160"/>
      </w:pPr>
      <w:r>
        <w:t xml:space="preserve">Justification : La </w:t>
      </w:r>
      <w:proofErr w:type="spellStart"/>
      <w:r>
        <w:t>CaC</w:t>
      </w:r>
      <w:proofErr w:type="spellEnd"/>
      <w:r>
        <w:t xml:space="preserve"> est largement préconisée pour améliorer la reproductibilité et la résilience [17, 18], pourtant les preuves empiriques montrent que les fichiers de configuration accumulent des odeurs et des </w:t>
      </w:r>
      <w:proofErr w:type="spellStart"/>
      <w:r>
        <w:t>anti-patrons</w:t>
      </w:r>
      <w:proofErr w:type="spellEnd"/>
      <w:r>
        <w:t xml:space="preserve"> même lorsque la </w:t>
      </w:r>
      <w:proofErr w:type="spellStart"/>
      <w:r>
        <w:t>CaC</w:t>
      </w:r>
      <w:proofErr w:type="spellEnd"/>
      <w:r>
        <w:t xml:space="preserve"> est adoptée [7, 22]. </w:t>
      </w:r>
      <w:proofErr w:type="spellStart"/>
      <w:r>
        <w:t>Nejati</w:t>
      </w:r>
      <w:proofErr w:type="spellEnd"/>
      <w:r>
        <w:t xml:space="preserve"> et al. [14] ont constaté que les spécifications de </w:t>
      </w:r>
      <w:proofErr w:type="spellStart"/>
      <w:r>
        <w:t>build</w:t>
      </w:r>
      <w:proofErr w:type="spellEnd"/>
      <w:r>
        <w:t xml:space="preserve"> sont </w:t>
      </w:r>
      <w:proofErr w:type="spellStart"/>
      <w:r>
        <w:t>revuées</w:t>
      </w:r>
      <w:proofErr w:type="spellEnd"/>
      <w:r>
        <w:t xml:space="preserve"> deux fois moins fréquemment que le code de production, indiquant que les pratiques de gouvernance autour des fichiers </w:t>
      </w:r>
      <w:proofErr w:type="spellStart"/>
      <w:r>
        <w:t>CaC</w:t>
      </w:r>
      <w:proofErr w:type="spellEnd"/>
      <w:r>
        <w:t xml:space="preserve"> sont souvent sous-développées. Cette sous-question évalue si les bénéfices de la </w:t>
      </w:r>
      <w:proofErr w:type="spellStart"/>
      <w:r>
        <w:t>CaC</w:t>
      </w:r>
      <w:proofErr w:type="spellEnd"/>
      <w:r>
        <w:t xml:space="preserve"> sont réellement réalisés lorsque des pratiques de gouvernance explicites sont appliquées. Méthode : Nous corrélerons la présence et la maturité des indicateurs de gouvernance </w:t>
      </w:r>
      <w:proofErr w:type="spellStart"/>
      <w:r>
        <w:t>CaC</w:t>
      </w:r>
      <w:proofErr w:type="spellEnd"/>
      <w:r>
        <w:t xml:space="preserve"> (fréquence de </w:t>
      </w:r>
      <w:proofErr w:type="spellStart"/>
      <w:r>
        <w:t>commits</w:t>
      </w:r>
      <w:proofErr w:type="spellEnd"/>
      <w:r>
        <w:t xml:space="preserve"> sur les fichiers pipeline, participation aux revues, </w:t>
      </w:r>
      <w:r>
        <w:lastRenderedPageBreak/>
        <w:t xml:space="preserve">adoption de linters) avec les taux d’échecs de </w:t>
      </w:r>
      <w:proofErr w:type="spellStart"/>
      <w:r>
        <w:t>build</w:t>
      </w:r>
      <w:proofErr w:type="spellEnd"/>
      <w:r>
        <w:t xml:space="preserve"> et les densités d’odeurs, en s’appuyant sur les jeux de données empiriques de Rausch et al. [15], Beller et al. [1] et </w:t>
      </w:r>
      <w:proofErr w:type="spellStart"/>
      <w:r>
        <w:t>Gallaba</w:t>
      </w:r>
      <w:proofErr w:type="spellEnd"/>
      <w:r>
        <w:t xml:space="preserve"> et al. [6].</w:t>
      </w:r>
    </w:p>
    <w:p w14:paraId="072D2132" w14:textId="77777777" w:rsidR="00824220" w:rsidRDefault="00000000">
      <w:pPr>
        <w:spacing w:after="80"/>
      </w:pPr>
      <w:r>
        <w:rPr>
          <w:b/>
          <w:bCs/>
        </w:rPr>
        <w:t xml:space="preserve">RQ.1.3 – </w:t>
      </w:r>
      <w:r>
        <w:t xml:space="preserve">Comment l’interaction entre la modélisation systématique et la gouvernance </w:t>
      </w:r>
      <w:proofErr w:type="spellStart"/>
      <w:r>
        <w:t>CaC</w:t>
      </w:r>
      <w:proofErr w:type="spellEnd"/>
      <w:r>
        <w:t xml:space="preserve"> influe-t-elle sur la scalabilité à long terme des pipelines, telle que reflétée par la fréquence de restructuration et les comportements de migration ?</w:t>
      </w:r>
    </w:p>
    <w:p w14:paraId="695F2E0A" w14:textId="77777777" w:rsidR="00824220" w:rsidRDefault="00000000">
      <w:pPr>
        <w:spacing w:after="160"/>
      </w:pPr>
      <w:r>
        <w:t xml:space="preserve">Justification : RQ.1.1 et RQ.1.2 traitent la modélisation et la gouvernance </w:t>
      </w:r>
      <w:proofErr w:type="spellStart"/>
      <w:r>
        <w:t>CaC</w:t>
      </w:r>
      <w:proofErr w:type="spellEnd"/>
      <w:r>
        <w:t xml:space="preserve"> séparément. Or, les deux pratiques sont supposées interagir : la modélisation fournit le plan structurel qui rend les configurations </w:t>
      </w:r>
      <w:proofErr w:type="spellStart"/>
      <w:r>
        <w:t>CaC</w:t>
      </w:r>
      <w:proofErr w:type="spellEnd"/>
      <w:r>
        <w:t xml:space="preserve"> plus cohérentes, tandis que la gouvernance </w:t>
      </w:r>
      <w:proofErr w:type="spellStart"/>
      <w:r>
        <w:t>CaC</w:t>
      </w:r>
      <w:proofErr w:type="spellEnd"/>
      <w:r>
        <w:t xml:space="preserve"> préserve l’intégrité de ce plan dans le temps. Zampetti et al. [27] ont documenté que les pipelines subissent fréquemment des restructurations à mesure que la complexité augmente, et Widder et al. [24] ont montré que la durée des </w:t>
      </w:r>
      <w:proofErr w:type="spellStart"/>
      <w:r>
        <w:t>builds</w:t>
      </w:r>
      <w:proofErr w:type="spellEnd"/>
      <w:r>
        <w:t xml:space="preserve"> et la diversité des langages sont des prédicteurs d’abandon du service CI—deux indicateurs de pression de scalabilité non gérée. Cette sous-question intègre les résultats de RQ.1.1 et RQ.1.2 dans une perspective longitudinale. Méthode : Une analyse de survie et une détection de points de changement seront appliquées aux historiques de </w:t>
      </w:r>
      <w:proofErr w:type="spellStart"/>
      <w:r>
        <w:t>commits</w:t>
      </w:r>
      <w:proofErr w:type="spellEnd"/>
      <w:r>
        <w:t xml:space="preserve"> des fichiers de configuration de pipeline, en comparant des cohortes différenciées par la présence d’artefacts de modélisation et la maturité de la gouvernance </w:t>
      </w:r>
      <w:proofErr w:type="spellStart"/>
      <w:r>
        <w:t>CaC</w:t>
      </w:r>
      <w:proofErr w:type="spellEnd"/>
      <w:r>
        <w:t>, à partir des jeux de données de Zampetti et al. [27] et Widder et al. [24].</w:t>
      </w:r>
    </w:p>
    <w:p w14:paraId="03761C4A" w14:textId="77777777" w:rsidR="00824220" w:rsidRDefault="00000000">
      <w:pPr>
        <w:pStyle w:val="Titre1"/>
      </w:pPr>
      <w:r>
        <w:t>Références</w:t>
      </w:r>
    </w:p>
    <w:p w14:paraId="6527F083" w14:textId="77777777" w:rsidR="00824220" w:rsidRPr="0021145F" w:rsidRDefault="00000000">
      <w:pPr>
        <w:spacing w:after="80"/>
        <w:ind w:left="360" w:hanging="360"/>
        <w:rPr>
          <w:lang w:val="en-US"/>
        </w:rPr>
      </w:pPr>
      <w:r>
        <w:rPr>
          <w:sz w:val="20"/>
          <w:szCs w:val="20"/>
        </w:rPr>
        <w:t xml:space="preserve">[1] M. Beller, G. </w:t>
      </w:r>
      <w:proofErr w:type="spellStart"/>
      <w:r>
        <w:rPr>
          <w:sz w:val="20"/>
          <w:szCs w:val="20"/>
        </w:rPr>
        <w:t>Gousios</w:t>
      </w:r>
      <w:proofErr w:type="spellEnd"/>
      <w:r>
        <w:rPr>
          <w:sz w:val="20"/>
          <w:szCs w:val="20"/>
        </w:rPr>
        <w:t xml:space="preserve">, A. Zaidman. </w:t>
      </w:r>
      <w:r w:rsidRPr="0021145F">
        <w:rPr>
          <w:sz w:val="20"/>
          <w:szCs w:val="20"/>
          <w:lang w:val="en-US"/>
        </w:rPr>
        <w:t>Oops, my tests broke the build: An explorative analysis of Travis CI with GitHub. MSR 2017, pp. 356–367.</w:t>
      </w:r>
    </w:p>
    <w:p w14:paraId="4842C32E" w14:textId="77777777" w:rsidR="00824220" w:rsidRPr="0021145F" w:rsidRDefault="00000000">
      <w:pPr>
        <w:spacing w:after="80"/>
        <w:ind w:left="360" w:hanging="360"/>
        <w:rPr>
          <w:lang w:val="en-US"/>
        </w:rPr>
      </w:pPr>
      <w:r w:rsidRPr="0021145F">
        <w:rPr>
          <w:sz w:val="20"/>
          <w:szCs w:val="20"/>
          <w:lang w:val="en-US"/>
        </w:rPr>
        <w:t xml:space="preserve">[6] K. </w:t>
      </w:r>
      <w:proofErr w:type="spellStart"/>
      <w:r w:rsidRPr="0021145F">
        <w:rPr>
          <w:sz w:val="20"/>
          <w:szCs w:val="20"/>
          <w:lang w:val="en-US"/>
        </w:rPr>
        <w:t>Gallaba</w:t>
      </w:r>
      <w:proofErr w:type="spellEnd"/>
      <w:r w:rsidRPr="0021145F">
        <w:rPr>
          <w:sz w:val="20"/>
          <w:szCs w:val="20"/>
          <w:lang w:val="en-US"/>
        </w:rPr>
        <w:t>, M. Lamothe, S. McIntosh. Lessons from eight years of operational data from a continuous integration service. ICSE 2022, pp. 1330–1342.</w:t>
      </w:r>
    </w:p>
    <w:p w14:paraId="4446A3A3" w14:textId="77777777" w:rsidR="00824220" w:rsidRPr="0021145F" w:rsidRDefault="00000000">
      <w:pPr>
        <w:spacing w:after="80"/>
        <w:ind w:left="360" w:hanging="360"/>
        <w:rPr>
          <w:lang w:val="en-US"/>
        </w:rPr>
      </w:pPr>
      <w:r w:rsidRPr="0021145F">
        <w:rPr>
          <w:sz w:val="20"/>
          <w:szCs w:val="20"/>
          <w:lang w:val="en-US"/>
        </w:rPr>
        <w:t xml:space="preserve">[7] K. </w:t>
      </w:r>
      <w:proofErr w:type="spellStart"/>
      <w:r w:rsidRPr="0021145F">
        <w:rPr>
          <w:sz w:val="20"/>
          <w:szCs w:val="20"/>
          <w:lang w:val="en-US"/>
        </w:rPr>
        <w:t>Gallaba</w:t>
      </w:r>
      <w:proofErr w:type="spellEnd"/>
      <w:r w:rsidRPr="0021145F">
        <w:rPr>
          <w:sz w:val="20"/>
          <w:szCs w:val="20"/>
          <w:lang w:val="en-US"/>
        </w:rPr>
        <w:t>, S. McIntosh. Use and misuse of continuous integration features: An empirical study of projects that (mis)use Travis CI. IEEE TSE, 46(1):33–50, 2020.</w:t>
      </w:r>
    </w:p>
    <w:p w14:paraId="65007B94" w14:textId="77777777" w:rsidR="00824220" w:rsidRPr="0021145F" w:rsidRDefault="00000000">
      <w:pPr>
        <w:spacing w:after="80"/>
        <w:ind w:left="360" w:hanging="360"/>
        <w:rPr>
          <w:lang w:val="en-US"/>
        </w:rPr>
      </w:pPr>
      <w:r w:rsidRPr="0021145F">
        <w:rPr>
          <w:sz w:val="20"/>
          <w:szCs w:val="20"/>
          <w:lang w:val="en-US"/>
        </w:rPr>
        <w:t>[8] M. Hilton et al. Usage, costs, and benefits of continuous integration in open-source projects. ASE 2016, pp. 426–437.</w:t>
      </w:r>
    </w:p>
    <w:p w14:paraId="5E91D506" w14:textId="77777777" w:rsidR="00824220" w:rsidRPr="0021145F" w:rsidRDefault="00000000">
      <w:pPr>
        <w:spacing w:after="80"/>
        <w:ind w:left="360" w:hanging="360"/>
        <w:rPr>
          <w:lang w:val="en-US"/>
        </w:rPr>
      </w:pPr>
      <w:r w:rsidRPr="0021145F">
        <w:rPr>
          <w:sz w:val="20"/>
          <w:szCs w:val="20"/>
          <w:lang w:val="en-US"/>
        </w:rPr>
        <w:t xml:space="preserve">[9] M. </w:t>
      </w:r>
      <w:proofErr w:type="spellStart"/>
      <w:r w:rsidRPr="0021145F">
        <w:rPr>
          <w:sz w:val="20"/>
          <w:szCs w:val="20"/>
          <w:lang w:val="en-US"/>
        </w:rPr>
        <w:t>Karlovs-Karlovskis</w:t>
      </w:r>
      <w:proofErr w:type="spellEnd"/>
      <w:r w:rsidRPr="0021145F">
        <w:rPr>
          <w:sz w:val="20"/>
          <w:szCs w:val="20"/>
          <w:lang w:val="en-US"/>
        </w:rPr>
        <w:t>, O. Nikiforova. From software architecture models to pipelines: a conceptual framework for model transformation in DevOps. Frontiers in Computer Science, 2025.</w:t>
      </w:r>
    </w:p>
    <w:p w14:paraId="1BA6357A" w14:textId="77777777" w:rsidR="00824220" w:rsidRPr="0021145F" w:rsidRDefault="00000000">
      <w:pPr>
        <w:spacing w:after="80"/>
        <w:ind w:left="360" w:hanging="360"/>
        <w:rPr>
          <w:lang w:val="en-US"/>
        </w:rPr>
      </w:pPr>
      <w:r w:rsidRPr="0021145F">
        <w:rPr>
          <w:sz w:val="20"/>
          <w:szCs w:val="20"/>
          <w:lang w:val="en-US"/>
        </w:rPr>
        <w:t>[11] M. Laukkanen, J. Itkonen, C. Lassenius. Problems, causes and solutions when adopting continuous delivery: A systematic literature review. IST, 82:55–79, 2017.</w:t>
      </w:r>
    </w:p>
    <w:p w14:paraId="525E4B2E" w14:textId="77777777" w:rsidR="00824220" w:rsidRPr="0021145F" w:rsidRDefault="00000000">
      <w:pPr>
        <w:spacing w:after="80"/>
        <w:ind w:left="360" w:hanging="360"/>
        <w:rPr>
          <w:lang w:val="en-US"/>
        </w:rPr>
      </w:pPr>
      <w:r w:rsidRPr="0021145F">
        <w:rPr>
          <w:sz w:val="20"/>
          <w:szCs w:val="20"/>
          <w:lang w:val="en-US"/>
        </w:rPr>
        <w:t xml:space="preserve">[14] M. </w:t>
      </w:r>
      <w:proofErr w:type="spellStart"/>
      <w:r w:rsidRPr="0021145F">
        <w:rPr>
          <w:sz w:val="20"/>
          <w:szCs w:val="20"/>
          <w:lang w:val="en-US"/>
        </w:rPr>
        <w:t>Nejati</w:t>
      </w:r>
      <w:proofErr w:type="spellEnd"/>
      <w:r w:rsidRPr="0021145F">
        <w:rPr>
          <w:sz w:val="20"/>
          <w:szCs w:val="20"/>
          <w:lang w:val="en-US"/>
        </w:rPr>
        <w:t>, M. Alfadel, S. McIntosh. Code review of build system specifications. ICSE 2023, pp. 1213–1224.</w:t>
      </w:r>
    </w:p>
    <w:p w14:paraId="067716F4" w14:textId="77777777" w:rsidR="00824220" w:rsidRPr="0021145F" w:rsidRDefault="00000000">
      <w:pPr>
        <w:spacing w:after="80"/>
        <w:ind w:left="360" w:hanging="360"/>
        <w:rPr>
          <w:lang w:val="en-US"/>
        </w:rPr>
      </w:pPr>
      <w:r w:rsidRPr="0021145F">
        <w:rPr>
          <w:sz w:val="20"/>
          <w:szCs w:val="20"/>
          <w:lang w:val="en-US"/>
        </w:rPr>
        <w:t>[15] T. Rausch et al. An empirical analysis of build failures in the continuous integration workflows of Java-based open-source software. MSR 2017, pp. 345–355.</w:t>
      </w:r>
    </w:p>
    <w:p w14:paraId="21B8500E" w14:textId="77777777" w:rsidR="00824220" w:rsidRPr="0021145F" w:rsidRDefault="00000000">
      <w:pPr>
        <w:spacing w:after="80"/>
        <w:ind w:left="360" w:hanging="360"/>
        <w:rPr>
          <w:lang w:val="en-US"/>
        </w:rPr>
      </w:pPr>
      <w:r w:rsidRPr="0021145F">
        <w:rPr>
          <w:sz w:val="20"/>
          <w:szCs w:val="20"/>
          <w:lang w:val="en-US"/>
        </w:rPr>
        <w:t>[17] M. Shahin, M. A. Babar, L. Zhu. Continuous integration, delivery and deployment: A systematic review. IEEE Access, 5:1920–1938, 2017.</w:t>
      </w:r>
    </w:p>
    <w:p w14:paraId="36E3F284" w14:textId="77777777" w:rsidR="00824220" w:rsidRPr="0021145F" w:rsidRDefault="00000000">
      <w:pPr>
        <w:spacing w:after="80"/>
        <w:ind w:left="360" w:hanging="360"/>
        <w:rPr>
          <w:lang w:val="en-US"/>
        </w:rPr>
      </w:pPr>
      <w:r w:rsidRPr="0021145F">
        <w:rPr>
          <w:sz w:val="20"/>
          <w:szCs w:val="20"/>
          <w:lang w:val="en-US"/>
        </w:rPr>
        <w:t>[18] M. Shahin et al. An empirical study of architecting for continuous delivery and deployment. EMSE, 24(3):1061–1108, 2019.</w:t>
      </w:r>
    </w:p>
    <w:p w14:paraId="61DB8C17" w14:textId="77777777" w:rsidR="00824220" w:rsidRPr="0021145F" w:rsidRDefault="00000000">
      <w:pPr>
        <w:spacing w:after="80"/>
        <w:ind w:left="360" w:hanging="360"/>
        <w:rPr>
          <w:lang w:val="en-US"/>
        </w:rPr>
      </w:pPr>
      <w:r w:rsidRPr="0021145F">
        <w:rPr>
          <w:sz w:val="20"/>
          <w:szCs w:val="20"/>
          <w:lang w:val="en-US"/>
        </w:rPr>
        <w:t>[19] D. Ståhl, J. Bosch. Modeling continuous integration practice differences in industry software development. JSS, 87:48–58, 2014.</w:t>
      </w:r>
    </w:p>
    <w:p w14:paraId="3E9A3BE7" w14:textId="77777777" w:rsidR="00824220" w:rsidRPr="0021145F" w:rsidRDefault="00000000">
      <w:pPr>
        <w:spacing w:after="80"/>
        <w:ind w:left="360" w:hanging="360"/>
        <w:rPr>
          <w:lang w:val="en-US"/>
        </w:rPr>
      </w:pPr>
      <w:r w:rsidRPr="0021145F">
        <w:rPr>
          <w:sz w:val="20"/>
          <w:szCs w:val="20"/>
          <w:lang w:val="en-US"/>
        </w:rPr>
        <w:t>[21] C. Vassallo et al. Automated reporting of anti-patterns and decay in continuous integration. ICSE 2019, pp. 105–115.</w:t>
      </w:r>
    </w:p>
    <w:p w14:paraId="3DF8D5D3" w14:textId="77777777" w:rsidR="00824220" w:rsidRPr="0021145F" w:rsidRDefault="00000000">
      <w:pPr>
        <w:spacing w:after="80"/>
        <w:ind w:left="360" w:hanging="360"/>
        <w:rPr>
          <w:lang w:val="en-US"/>
        </w:rPr>
      </w:pPr>
      <w:r w:rsidRPr="0021145F">
        <w:rPr>
          <w:sz w:val="20"/>
          <w:szCs w:val="20"/>
          <w:lang w:val="en-US"/>
        </w:rPr>
        <w:t>[22] C. Vassallo et al. Configuration smells in continuous delivery pipelines: A linter and a six-month study on GitLab. ESEC/FSE 2020, pp. 327–337.</w:t>
      </w:r>
    </w:p>
    <w:p w14:paraId="0E2FCF61" w14:textId="77777777" w:rsidR="00824220" w:rsidRPr="0021145F" w:rsidRDefault="00000000">
      <w:pPr>
        <w:spacing w:after="80"/>
        <w:ind w:left="360" w:hanging="360"/>
        <w:rPr>
          <w:lang w:val="en-US"/>
        </w:rPr>
      </w:pPr>
      <w:r w:rsidRPr="0021145F">
        <w:rPr>
          <w:sz w:val="20"/>
          <w:szCs w:val="20"/>
          <w:lang w:val="en-US"/>
        </w:rPr>
        <w:t>[24] D. Widder et al. I’m leaving you, Travis: A continuous integration breakup story. MSR 2018, pp. 165–169.</w:t>
      </w:r>
    </w:p>
    <w:p w14:paraId="5B3379E7" w14:textId="77777777" w:rsidR="00824220" w:rsidRPr="0021145F" w:rsidRDefault="00000000">
      <w:pPr>
        <w:spacing w:after="80"/>
        <w:ind w:left="360" w:hanging="360"/>
        <w:rPr>
          <w:lang w:val="en-US"/>
        </w:rPr>
      </w:pPr>
      <w:r w:rsidRPr="0021145F">
        <w:rPr>
          <w:sz w:val="20"/>
          <w:szCs w:val="20"/>
          <w:lang w:val="en-US"/>
        </w:rPr>
        <w:t>[25] M. Wimmer et al. Continuous integration in multi-view modeling: A model transformation pipeline architecture. MODELSWARD 2021.</w:t>
      </w:r>
    </w:p>
    <w:p w14:paraId="60D87F90" w14:textId="77777777" w:rsidR="00824220" w:rsidRPr="0021145F" w:rsidRDefault="00000000">
      <w:pPr>
        <w:spacing w:after="80"/>
        <w:ind w:left="360" w:hanging="360"/>
        <w:rPr>
          <w:lang w:val="en-US"/>
        </w:rPr>
      </w:pPr>
      <w:r w:rsidRPr="0021145F">
        <w:rPr>
          <w:sz w:val="20"/>
          <w:szCs w:val="20"/>
          <w:lang w:val="en-US"/>
        </w:rPr>
        <w:t>[27] F. Zampetti et al. CI/CD pipelines evolution and restructuring: A qualitative and quantitative study. ICSME 2021, pp. 471–482.</w:t>
      </w:r>
    </w:p>
    <w:p w14:paraId="6CA29FAF" w14:textId="77777777" w:rsidR="00824220" w:rsidRDefault="00000000">
      <w:pPr>
        <w:spacing w:after="80"/>
        <w:ind w:left="360" w:hanging="360"/>
      </w:pPr>
      <w:r w:rsidRPr="0021145F">
        <w:rPr>
          <w:sz w:val="20"/>
          <w:szCs w:val="20"/>
          <w:lang w:val="en-US"/>
        </w:rPr>
        <w:lastRenderedPageBreak/>
        <w:t xml:space="preserve">[29] F. Zampetti et al. An empirical characterization of bad practices in continuous integration. </w:t>
      </w:r>
      <w:r>
        <w:rPr>
          <w:sz w:val="20"/>
          <w:szCs w:val="20"/>
        </w:rPr>
        <w:t>EMSE, 25(2</w:t>
      </w:r>
      <w:proofErr w:type="gramStart"/>
      <w:r>
        <w:rPr>
          <w:sz w:val="20"/>
          <w:szCs w:val="20"/>
        </w:rPr>
        <w:t>):</w:t>
      </w:r>
      <w:proofErr w:type="gramEnd"/>
      <w:r>
        <w:rPr>
          <w:sz w:val="20"/>
          <w:szCs w:val="20"/>
        </w:rPr>
        <w:t>1095–1135, 2020.</w:t>
      </w:r>
    </w:p>
    <w:sectPr w:rsidR="008242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596"/>
    <w:multiLevelType w:val="hybridMultilevel"/>
    <w:tmpl w:val="750E0000"/>
    <w:lvl w:ilvl="0" w:tplc="5FCA2B44">
      <w:start w:val="1"/>
      <w:numFmt w:val="bullet"/>
      <w:lvlText w:val="●"/>
      <w:lvlJc w:val="left"/>
      <w:pPr>
        <w:ind w:left="720" w:hanging="360"/>
      </w:pPr>
    </w:lvl>
    <w:lvl w:ilvl="1" w:tplc="1E503C78">
      <w:start w:val="1"/>
      <w:numFmt w:val="bullet"/>
      <w:lvlText w:val="○"/>
      <w:lvlJc w:val="left"/>
      <w:pPr>
        <w:ind w:left="1440" w:hanging="360"/>
      </w:pPr>
    </w:lvl>
    <w:lvl w:ilvl="2" w:tplc="36F268BA">
      <w:start w:val="1"/>
      <w:numFmt w:val="bullet"/>
      <w:lvlText w:val="■"/>
      <w:lvlJc w:val="left"/>
      <w:pPr>
        <w:ind w:left="2160" w:hanging="360"/>
      </w:pPr>
    </w:lvl>
    <w:lvl w:ilvl="3" w:tplc="1D3CCA58">
      <w:start w:val="1"/>
      <w:numFmt w:val="bullet"/>
      <w:lvlText w:val="●"/>
      <w:lvlJc w:val="left"/>
      <w:pPr>
        <w:ind w:left="2880" w:hanging="360"/>
      </w:pPr>
    </w:lvl>
    <w:lvl w:ilvl="4" w:tplc="3A2E5B72">
      <w:start w:val="1"/>
      <w:numFmt w:val="bullet"/>
      <w:lvlText w:val="○"/>
      <w:lvlJc w:val="left"/>
      <w:pPr>
        <w:ind w:left="3600" w:hanging="360"/>
      </w:pPr>
    </w:lvl>
    <w:lvl w:ilvl="5" w:tplc="BE54514E">
      <w:start w:val="1"/>
      <w:numFmt w:val="bullet"/>
      <w:lvlText w:val="■"/>
      <w:lvlJc w:val="left"/>
      <w:pPr>
        <w:ind w:left="4320" w:hanging="360"/>
      </w:pPr>
    </w:lvl>
    <w:lvl w:ilvl="6" w:tplc="927AD1A8">
      <w:start w:val="1"/>
      <w:numFmt w:val="bullet"/>
      <w:lvlText w:val="●"/>
      <w:lvlJc w:val="left"/>
      <w:pPr>
        <w:ind w:left="5040" w:hanging="360"/>
      </w:pPr>
    </w:lvl>
    <w:lvl w:ilvl="7" w:tplc="9F762292">
      <w:start w:val="1"/>
      <w:numFmt w:val="bullet"/>
      <w:lvlText w:val="●"/>
      <w:lvlJc w:val="left"/>
      <w:pPr>
        <w:ind w:left="5760" w:hanging="360"/>
      </w:pPr>
    </w:lvl>
    <w:lvl w:ilvl="8" w:tplc="BBD094D4">
      <w:start w:val="1"/>
      <w:numFmt w:val="bullet"/>
      <w:lvlText w:val="●"/>
      <w:lvlJc w:val="left"/>
      <w:pPr>
        <w:ind w:left="6480" w:hanging="360"/>
      </w:pPr>
    </w:lvl>
  </w:abstractNum>
  <w:abstractNum w:abstractNumId="1" w15:restartNumberingAfterBreak="0">
    <w:nsid w:val="61F113EF"/>
    <w:multiLevelType w:val="hybridMultilevel"/>
    <w:tmpl w:val="DCB6E6A0"/>
    <w:lvl w:ilvl="0" w:tplc="15DAA1F0">
      <w:start w:val="1"/>
      <w:numFmt w:val="bullet"/>
      <w:lvlText w:val="•"/>
      <w:lvlJc w:val="left"/>
      <w:pPr>
        <w:ind w:left="720" w:hanging="360"/>
      </w:pPr>
    </w:lvl>
    <w:lvl w:ilvl="1" w:tplc="DB3887E2">
      <w:numFmt w:val="decimal"/>
      <w:lvlText w:val=""/>
      <w:lvlJc w:val="left"/>
    </w:lvl>
    <w:lvl w:ilvl="2" w:tplc="7B9E01F4">
      <w:numFmt w:val="decimal"/>
      <w:lvlText w:val=""/>
      <w:lvlJc w:val="left"/>
    </w:lvl>
    <w:lvl w:ilvl="3" w:tplc="4E7AF908">
      <w:numFmt w:val="decimal"/>
      <w:lvlText w:val=""/>
      <w:lvlJc w:val="left"/>
    </w:lvl>
    <w:lvl w:ilvl="4" w:tplc="585C1F22">
      <w:numFmt w:val="decimal"/>
      <w:lvlText w:val=""/>
      <w:lvlJc w:val="left"/>
    </w:lvl>
    <w:lvl w:ilvl="5" w:tplc="DC064C7C">
      <w:numFmt w:val="decimal"/>
      <w:lvlText w:val=""/>
      <w:lvlJc w:val="left"/>
    </w:lvl>
    <w:lvl w:ilvl="6" w:tplc="A6B01D2A">
      <w:numFmt w:val="decimal"/>
      <w:lvlText w:val=""/>
      <w:lvlJc w:val="left"/>
    </w:lvl>
    <w:lvl w:ilvl="7" w:tplc="48565D6A">
      <w:numFmt w:val="decimal"/>
      <w:lvlText w:val=""/>
      <w:lvlJc w:val="left"/>
    </w:lvl>
    <w:lvl w:ilvl="8" w:tplc="011AB43E">
      <w:numFmt w:val="decimal"/>
      <w:lvlText w:val=""/>
      <w:lvlJc w:val="left"/>
    </w:lvl>
  </w:abstractNum>
  <w:num w:numId="1" w16cid:durableId="647394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220"/>
    <w:rsid w:val="0021145F"/>
    <w:rsid w:val="002E50A2"/>
    <w:rsid w:val="00824220"/>
    <w:rsid w:val="008E17F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B620"/>
  <w15:docId w15:val="{FBE05964-AFB8-42C7-AC55-91457EEA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000000"/>
      <w:sz w:val="28"/>
      <w:szCs w:val="28"/>
    </w:rPr>
  </w:style>
  <w:style w:type="paragraph" w:styleId="Titre2">
    <w:name w:val="heading 2"/>
    <w:uiPriority w:val="9"/>
    <w:unhideWhenUsed/>
    <w:qFormat/>
    <w:pPr>
      <w:spacing w:before="200" w:after="80"/>
      <w:outlineLvl w:val="1"/>
    </w:pPr>
    <w:rPr>
      <w:b/>
      <w:bCs/>
      <w:color w:val="00000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2331</Words>
  <Characters>12824</Characters>
  <Application>Microsoft Office Word</Application>
  <DocSecurity>0</DocSecurity>
  <Lines>106</Lines>
  <Paragraphs>30</Paragraphs>
  <ScaleCrop>false</ScaleCrop>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PISCAGLIA Timothé</cp:lastModifiedBy>
  <cp:revision>2</cp:revision>
  <cp:lastPrinted>2026-03-24T18:43:00Z</cp:lastPrinted>
  <dcterms:created xsi:type="dcterms:W3CDTF">2026-03-24T18:51:00Z</dcterms:created>
  <dcterms:modified xsi:type="dcterms:W3CDTF">2026-03-24T18:51:00Z</dcterms:modified>
</cp:coreProperties>
</file>