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4E5F"/>
          <w:sz w:val="44"/>
          <w:szCs w:val="44"/>
        </w:rPr>
        <w:t xml:space="preserve">PROJEKTPLAN</w:t>
      </w:r>
    </w:p>
    <w:p>
      <w:pPr>
        <w:spacing w:after="40"/>
      </w:pPr>
      <w:r>
        <w:rPr>
          <w:rFonts w:ascii="Calibri" w:cs="Calibri" w:eastAsia="Calibri" w:hAnsi="Calibri"/>
          <w:sz w:val="28"/>
          <w:szCs w:val="28"/>
        </w:rPr>
        <w:t xml:space="preserve">Genomförande av naturrestaureringsförordningen (NRF)</w:t>
      </w:r>
    </w:p>
    <w:p>
      <w:pPr>
        <w:spacing w:after="360"/>
      </w:pPr>
      <w:r>
        <w:rPr>
          <w:rFonts w:ascii="Calibri" w:cs="Calibri" w:eastAsia="Calibri" w:hAnsi="Calibri"/>
          <w:i/>
          <w:iCs/>
          <w:color w:val="444444"/>
          <w:sz w:val="24"/>
          <w:szCs w:val="24"/>
        </w:rPr>
        <w:t xml:space="preserve">Natura 2000 i Södermanlands län — NNK-granskningen 2026</w:t>
      </w:r>
    </w:p>
    <w:tbl>
      <w:tblPr>
        <w:tblW w:type="dxa" w:w="9000"/>
        <w:tblBorders>
          <w:top w:val="none"/>
          <w:left w:val="none"/>
          <w:bottom w:val="none"/>
          <w:right w:val="none"/>
          <w:insideH w:val="none"/>
          <w:insideV w:val="none"/>
        </w:tblBorders>
      </w:tblPr>
      <w:tblGrid>
        <w:gridCol w:w="2400"/>
        <w:gridCol w:w="6600"/>
      </w:tblGrid>
      <w:tr>
        <w:tc>
          <w:tcPr>
            <w:tcW w:type="dxa" w:w="2400"/>
            <w:tcMar>
              <w:top w:type="dxa" w:w="40"/>
              <w:left w:type="dxa" w:w="0"/>
              <w:bottom w:type="dxa" w:w="40"/>
              <w:right w:type="dxa" w:w="100"/>
            </w:tcMar>
          </w:tcPr>
          <w:p>
            <w:r>
              <w:rPr>
                <w:rFonts w:ascii="Calibri" w:cs="Calibri" w:eastAsia="Calibri" w:hAnsi="Calibri"/>
                <w:b/>
                <w:bCs/>
                <w:sz w:val="21"/>
                <w:szCs w:val="21"/>
              </w:rPr>
              <w:t xml:space="preserve">Uppdragsgivare:</w:t>
            </w:r>
          </w:p>
        </w:tc>
        <w:tc>
          <w:tcPr>
            <w:tcW w:type="dxa" w:w="6600"/>
            <w:tcMar>
              <w:top w:type="dxa" w:w="40"/>
              <w:left w:type="dxa" w:w="0"/>
              <w:bottom w:type="dxa" w:w="40"/>
              <w:right w:type="dxa" w:w="0"/>
            </w:tcMar>
          </w:tcPr>
          <w:p>
            <w:r>
              <w:rPr>
                <w:rFonts w:ascii="Calibri" w:cs="Calibri" w:eastAsia="Calibri" w:hAnsi="Calibri"/>
                <w:sz w:val="21"/>
                <w:szCs w:val="21"/>
              </w:rPr>
              <w:t xml:space="preserve">Länsstyrelsen i Södermanlands län – Naturskyddsenheten</w:t>
            </w:r>
          </w:p>
        </w:tc>
      </w:tr>
      <w:tr>
        <w:tc>
          <w:tcPr>
            <w:tcW w:type="dxa" w:w="2400"/>
            <w:tcMar>
              <w:top w:type="dxa" w:w="40"/>
              <w:left w:type="dxa" w:w="0"/>
              <w:bottom w:type="dxa" w:w="40"/>
              <w:right w:type="dxa" w:w="100"/>
            </w:tcMar>
          </w:tcPr>
          <w:p>
            <w:r>
              <w:rPr>
                <w:rFonts w:ascii="Calibri" w:cs="Calibri" w:eastAsia="Calibri" w:hAnsi="Calibri"/>
                <w:b/>
                <w:bCs/>
                <w:sz w:val="21"/>
                <w:szCs w:val="21"/>
              </w:rPr>
              <w:t xml:space="preserve">Referens:</w:t>
            </w:r>
          </w:p>
        </w:tc>
        <w:tc>
          <w:tcPr>
            <w:tcW w:type="dxa" w:w="6600"/>
            <w:tcMar>
              <w:top w:type="dxa" w:w="40"/>
              <w:left w:type="dxa" w:w="0"/>
              <w:bottom w:type="dxa" w:w="40"/>
              <w:right w:type="dxa" w:w="0"/>
            </w:tcMar>
          </w:tcPr>
          <w:p>
            <w:r>
              <w:rPr>
                <w:rFonts w:ascii="Calibri" w:cs="Calibri" w:eastAsia="Calibri" w:hAnsi="Calibri"/>
                <w:sz w:val="21"/>
                <w:szCs w:val="21"/>
              </w:rPr>
              <w:t xml:space="preserve">2451-2026</w:t>
            </w:r>
          </w:p>
        </w:tc>
      </w:tr>
      <w:tr>
        <w:tc>
          <w:tcPr>
            <w:tcW w:type="dxa" w:w="2400"/>
            <w:tcMar>
              <w:top w:type="dxa" w:w="40"/>
              <w:left w:type="dxa" w:w="0"/>
              <w:bottom w:type="dxa" w:w="40"/>
              <w:right w:type="dxa" w:w="100"/>
            </w:tcMar>
          </w:tcPr>
          <w:p>
            <w:r>
              <w:rPr>
                <w:rFonts w:ascii="Calibri" w:cs="Calibri" w:eastAsia="Calibri" w:hAnsi="Calibri"/>
                <w:b/>
                <w:bCs/>
                <w:sz w:val="21"/>
                <w:szCs w:val="21"/>
              </w:rPr>
              <w:t xml:space="preserve">Projektledare:</w:t>
            </w:r>
          </w:p>
        </w:tc>
        <w:tc>
          <w:tcPr>
            <w:tcW w:type="dxa" w:w="6600"/>
            <w:tcMar>
              <w:top w:type="dxa" w:w="40"/>
              <w:left w:type="dxa" w:w="0"/>
              <w:bottom w:type="dxa" w:w="40"/>
              <w:right w:type="dxa" w:w="0"/>
            </w:tcMar>
          </w:tcPr>
          <w:p>
            <w:r>
              <w:rPr>
                <w:rFonts w:ascii="Calibri" w:cs="Calibri" w:eastAsia="Calibri" w:hAnsi="Calibri"/>
                <w:sz w:val="21"/>
                <w:szCs w:val="21"/>
              </w:rPr>
              <w:t xml:space="preserve">Johan (naturskyddshandläggare, GIS)</w:t>
            </w:r>
          </w:p>
        </w:tc>
      </w:tr>
      <w:tr>
        <w:tc>
          <w:tcPr>
            <w:tcW w:type="dxa" w:w="2400"/>
            <w:tcMar>
              <w:top w:type="dxa" w:w="40"/>
              <w:left w:type="dxa" w:w="0"/>
              <w:bottom w:type="dxa" w:w="40"/>
              <w:right w:type="dxa" w:w="100"/>
            </w:tcMar>
          </w:tcPr>
          <w:p>
            <w:r>
              <w:rPr>
                <w:rFonts w:ascii="Calibri" w:cs="Calibri" w:eastAsia="Calibri" w:hAnsi="Calibri"/>
                <w:b/>
                <w:bCs/>
                <w:sz w:val="21"/>
                <w:szCs w:val="21"/>
              </w:rPr>
              <w:t xml:space="preserve">Version:</w:t>
            </w:r>
          </w:p>
        </w:tc>
        <w:tc>
          <w:tcPr>
            <w:tcW w:type="dxa" w:w="6600"/>
            <w:tcMar>
              <w:top w:type="dxa" w:w="40"/>
              <w:left w:type="dxa" w:w="0"/>
              <w:bottom w:type="dxa" w:w="40"/>
              <w:right w:type="dxa" w:w="0"/>
            </w:tcMar>
          </w:tcPr>
          <w:p>
            <w:r>
              <w:rPr>
                <w:rFonts w:ascii="Calibri" w:cs="Calibri" w:eastAsia="Calibri" w:hAnsi="Calibri"/>
                <w:sz w:val="21"/>
                <w:szCs w:val="21"/>
              </w:rPr>
              <w:t xml:space="preserve">2.0</w:t>
            </w:r>
          </w:p>
        </w:tc>
      </w:tr>
      <w:tr>
        <w:tc>
          <w:tcPr>
            <w:tcW w:type="dxa" w:w="2400"/>
            <w:tcMar>
              <w:top w:type="dxa" w:w="40"/>
              <w:left w:type="dxa" w:w="0"/>
              <w:bottom w:type="dxa" w:w="40"/>
              <w:right w:type="dxa" w:w="100"/>
            </w:tcMar>
          </w:tcPr>
          <w:p>
            <w:r>
              <w:rPr>
                <w:rFonts w:ascii="Calibri" w:cs="Calibri" w:eastAsia="Calibri" w:hAnsi="Calibri"/>
                <w:b/>
                <w:bCs/>
                <w:sz w:val="21"/>
                <w:szCs w:val="21"/>
              </w:rPr>
              <w:t xml:space="preserve">Datum:</w:t>
            </w:r>
          </w:p>
        </w:tc>
        <w:tc>
          <w:tcPr>
            <w:tcW w:type="dxa" w:w="6600"/>
            <w:tcMar>
              <w:top w:type="dxa" w:w="40"/>
              <w:left w:type="dxa" w:w="0"/>
              <w:bottom w:type="dxa" w:w="40"/>
              <w:right w:type="dxa" w:w="0"/>
            </w:tcMar>
          </w:tcPr>
          <w:p>
            <w:r>
              <w:rPr>
                <w:rFonts w:ascii="Calibri" w:cs="Calibri" w:eastAsia="Calibri" w:hAnsi="Calibri"/>
                <w:sz w:val="21"/>
                <w:szCs w:val="21"/>
              </w:rPr>
              <w:t xml:space="preserve">2026-09-04</w:t>
            </w:r>
          </w:p>
        </w:tc>
      </w:tr>
      <w:tr>
        <w:tc>
          <w:tcPr>
            <w:tcW w:type="dxa" w:w="2400"/>
            <w:tcMar>
              <w:top w:type="dxa" w:w="40"/>
              <w:left w:type="dxa" w:w="0"/>
              <w:bottom w:type="dxa" w:w="40"/>
              <w:right w:type="dxa" w:w="100"/>
            </w:tcMar>
          </w:tcPr>
          <w:p>
            <w:r>
              <w:rPr>
                <w:rFonts w:ascii="Calibri" w:cs="Calibri" w:eastAsia="Calibri" w:hAnsi="Calibri"/>
                <w:b/>
                <w:bCs/>
                <w:sz w:val="21"/>
                <w:szCs w:val="21"/>
              </w:rPr>
              <w:t xml:space="preserve">Ersätter:</w:t>
            </w:r>
          </w:p>
        </w:tc>
        <w:tc>
          <w:tcPr>
            <w:tcW w:type="dxa" w:w="6600"/>
            <w:tcMar>
              <w:top w:type="dxa" w:w="40"/>
              <w:left w:type="dxa" w:w="0"/>
              <w:bottom w:type="dxa" w:w="40"/>
              <w:right w:type="dxa" w:w="0"/>
            </w:tcMar>
          </w:tcPr>
          <w:p>
            <w:r>
              <w:rPr>
                <w:rFonts w:ascii="Calibri" w:cs="Calibri" w:eastAsia="Calibri" w:hAnsi="Calibri"/>
                <w:sz w:val="21"/>
                <w:szCs w:val="21"/>
              </w:rPr>
              <w:t xml:space="preserve">Version 1.1 (2026-05-27)</w:t>
            </w:r>
          </w:p>
        </w:tc>
      </w:tr>
      <w:tr>
        <w:tc>
          <w:tcPr>
            <w:tcW w:type="dxa" w:w="2400"/>
            <w:tcMar>
              <w:top w:type="dxa" w:w="40"/>
              <w:left w:type="dxa" w:w="0"/>
              <w:bottom w:type="dxa" w:w="40"/>
              <w:right w:type="dxa" w:w="100"/>
            </w:tcMar>
          </w:tcPr>
          <w:p>
            <w:r>
              <w:rPr>
                <w:rFonts w:ascii="Calibri" w:cs="Calibri" w:eastAsia="Calibri" w:hAnsi="Calibri"/>
                <w:b/>
                <w:bCs/>
                <w:sz w:val="21"/>
                <w:szCs w:val="21"/>
              </w:rPr>
              <w:t xml:space="preserve">Detaljerad arbetsplan:</w:t>
            </w:r>
          </w:p>
        </w:tc>
        <w:tc>
          <w:tcPr>
            <w:tcW w:type="dxa" w:w="6600"/>
            <w:tcMar>
              <w:top w:type="dxa" w:w="40"/>
              <w:left w:type="dxa" w:w="0"/>
              <w:bottom w:type="dxa" w:w="40"/>
              <w:right w:type="dxa" w:w="0"/>
            </w:tcMar>
          </w:tcPr>
          <w:p>
            <w:r>
              <w:rPr>
                <w:rFonts w:ascii="Calibri" w:cs="Calibri" w:eastAsia="Calibri" w:hAnsi="Calibri"/>
                <w:sz w:val="21"/>
                <w:szCs w:val="21"/>
              </w:rPr>
              <w:t xml:space="preserve">https://ulfboge.github.io/nnk-granskning-2026 (arbetsplan.md, runbook.md, kontrollrum.html)</w:t>
            </w:r>
          </w:p>
        </w:tc>
      </w:tr>
    </w:tbl>
    <w:p>
      <w:pPr>
        <w:spacing w:after="160"/>
      </w:pPr>
      <w:r>
        <w:rPr>
          <w:rFonts w:ascii="Calibri" w:cs="Calibri" w:eastAsia="Calibri" w:hAnsi="Calibri"/>
          <w:sz w:val="21"/>
          <w:szCs w:val="21"/>
        </w:rPr>
        <w:t xml:space="preserve"/>
      </w:r>
    </w:p>
    <w:p>
      <w:pPr>
        <w:spacing w:after="160"/>
      </w:pPr>
      <w:r>
        <w:rPr>
          <w:rFonts w:ascii="Calibri" w:cs="Calibri" w:eastAsia="Calibri" w:hAnsi="Calibri"/>
          <w:sz w:val="21"/>
          <w:szCs w:val="21"/>
        </w:rPr>
        <w:t xml:space="preserve">Denna projektplan är det styrande dokumentet för naturrestaureringsuppdraget (NRF) i Södermanlands län, med fokus på 2026 års skede: NNK-granskningen (Nationell Naturtypskartering). Den sammanfattar bakgrund, mål, leveranser, organisation, tidsplan och risker på lednings­nivå. Den löpande, veckovisa arbetsplaneringen — uppgift för uppgift — förs i ett separat, offentligt arbetsdokument (se hänvisning ovan) och uppdateras oftare än denna plan.</w:t>
      </w:r>
    </w:p>
    <w:p>
      <w:r>
        <w:br w:type="page"/>
      </w:r>
    </w:p>
    <w:p>
      <w:pPr>
        <w:pStyle w:val="Heading1"/>
        <w:spacing w:after="160" w:before="360"/>
      </w:pPr>
      <w:r>
        <w:t xml:space="preserve">1. Bakgrund och uppdrag</w:t>
      </w:r>
    </w:p>
    <w:p>
      <w:pPr>
        <w:spacing w:after="160"/>
      </w:pPr>
      <w:r>
        <w:rPr>
          <w:rFonts w:ascii="Calibri" w:cs="Calibri" w:eastAsia="Calibri" w:hAnsi="Calibri"/>
          <w:sz w:val="21"/>
          <w:szCs w:val="21"/>
        </w:rPr>
        <w:t xml:space="preserve">Länsstyrelserna har genom regleringsbrevet för 2026 fått i uppdrag av regeringen att implementera EU:s naturrestaureringsförordning (NRF, förordning (EU) 2024/1991) regionalt. Uppdraget innebär att länsstyrelsen ska bedöma utbredningen (arealen) av livsmiljötyper i beslutade Natura 2000-områden och klassificera deras tillstånd som gott, icke gott eller okänt, i enlighet med EU-kommissionens genomförandebeslut (EU) 2023/2806. För livsmiljötyper med okänd status ska länsstyrelsen lägga upp en plan för hur status ska kunna bedömas.</w:t>
      </w:r>
    </w:p>
    <w:p>
      <w:pPr>
        <w:spacing w:after="160"/>
      </w:pPr>
      <w:r>
        <w:rPr>
          <w:rFonts w:ascii="Calibri" w:cs="Calibri" w:eastAsia="Calibri" w:hAnsi="Calibri"/>
          <w:sz w:val="21"/>
          <w:szCs w:val="21"/>
        </w:rPr>
        <w:t xml:space="preserve">Bedömningarna görs enligt riktlinjer från Naturvårdsverket (NV) och Havs- och vattenmyndigheten. Länsstyrelsen rapporterar sitt underlag till Naturvårdsverket — det är NV, inte länsstyrelsen, som ansvarar för den vidare rapporteringen till EU-kommissionen. Uppdraget redovisas även i länsstyrelsens årsredovisning: hur många Natura 2000-områden som bedömts, och för hur många en plan lagts upp.</w:t>
      </w:r>
    </w:p>
    <w:p>
      <w:pPr>
        <w:spacing w:after="160"/>
      </w:pPr>
      <w:r>
        <w:rPr>
          <w:rFonts w:ascii="Calibri" w:cs="Calibri" w:eastAsia="Calibri" w:hAnsi="Calibri"/>
          <w:sz w:val="21"/>
          <w:szCs w:val="21"/>
        </w:rPr>
        <w:t xml:space="preserve">Tjänsten är placerad på Naturskyddsenheten (ca 15 personer) inom Naturavdelningen. Två personer arbetar med uppdraget: en naturskyddshandläggare (projektledare, heltid) och en kollega (ca 50 %). Anställningen inleddes 10 augusti 2026.</w:t>
      </w:r>
    </w:p>
    <w:p>
      <w:pPr>
        <w:pStyle w:val="Heading1"/>
        <w:spacing w:after="160" w:before="360"/>
      </w:pPr>
      <w:r>
        <w:t xml:space="preserve">2. Syfte och mål</w:t>
      </w:r>
    </w:p>
    <w:p>
      <w:pPr>
        <w:pStyle w:val="Heading2"/>
        <w:spacing w:after="120" w:before="240"/>
      </w:pPr>
      <w:r>
        <w:t xml:space="preserve">Syfte</w:t>
      </w:r>
    </w:p>
    <w:p>
      <w:pPr>
        <w:pStyle w:val="ListParagraph"/>
        <w:numPr>
          <w:ilvl w:val="0"/>
          <w:numId w:val="1"/>
        </w:numPr>
        <w:spacing w:after="80"/>
      </w:pPr>
      <w:r>
        <w:t xml:space="preserve">Säkerställa och kvalitetssäkra kunskapsunderlaget om livsmiljötyper i Södermanlands Natura 2000-områden.</w:t>
      </w:r>
    </w:p>
    <w:p>
      <w:pPr>
        <w:pStyle w:val="ListParagraph"/>
        <w:numPr>
          <w:ilvl w:val="0"/>
          <w:numId w:val="1"/>
        </w:numPr>
        <w:spacing w:after="80"/>
      </w:pPr>
      <w:r>
        <w:t xml:space="preserve">Möjliggöra prioritering och planering av kommande restaureringsåtgärder.</w:t>
      </w:r>
    </w:p>
    <w:p>
      <w:pPr>
        <w:pStyle w:val="ListParagraph"/>
        <w:numPr>
          <w:ilvl w:val="0"/>
          <w:numId w:val="1"/>
        </w:numPr>
        <w:spacing w:after="80"/>
      </w:pPr>
      <w:r>
        <w:t xml:space="preserve">Etablera en långsiktig arbetsstruktur för uppföljning och ajourhållning av länets livsmiljötyper i Naturtypskartan (NNK).</w:t>
      </w:r>
    </w:p>
    <w:p>
      <w:pPr>
        <w:pStyle w:val="Heading2"/>
        <w:spacing w:after="120" w:before="240"/>
      </w:pPr>
      <w:r>
        <w:t xml:space="preserve">Vad respektive år innebär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År</w:t>
            </w:r>
          </w:p>
        </w:tc>
        <w:tc>
          <w:tcPr>
            <w:tcW w:type="dxa" w:w="76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Innebörd</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2026</w:t>
            </w:r>
          </w:p>
        </w:tc>
        <w:tc>
          <w:tcPr>
            <w:tcW w:type="dxa" w:w="7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Kartläggnings- och planeringsår — inte ett produktionsår. Leveransen vid årsskiftet är en redovisning av vad som är känt, vad som inte är känt, och en plan för hur det okända ska bli känt under 2027. Fältkontroll är flyttad till 2027 (beslut 2026-08-25) — 2026 bygger på befintlig kunskap: bevarandeplaner, ortofoto, TUVA/VMI/VISS/Artportalen och förvaltarnas lokalkännedom.</w:t>
            </w:r>
          </w:p>
        </w:tc>
      </w:tr>
      <w:tr>
        <w:tc>
          <w:tcPr>
            <w:tcW w:type="dxa" w:w="14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2027</w:t>
            </w:r>
          </w:p>
        </w:tc>
        <w:tc>
          <w:tcPr>
            <w:tcW w:type="dxa" w:w="76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Livsmiljötypernas utbredning och tillstånd (gott/icke gott) fastställs inom Natura 2000, inklusive fältinventeringar. Slutredovisning till regeringen. Naturreservat och nationalpark har samma deadline.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2028</w:t>
            </w:r>
          </w:p>
        </w:tc>
        <w:tc>
          <w:tcPr>
            <w:tcW w:type="dxa" w:w="7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Utbredning och tillstånd i NNK för samtliga skyddade områden. Uppgifterna förs över till Standard Data Form (SDF) för EU-rapportering.</w:t>
            </w:r>
          </w:p>
        </w:tc>
      </w:tr>
    </w:tbl>
    <w:p>
      <w:pPr>
        <w:spacing w:after="160"/>
      </w:pPr>
      <w:r>
        <w:rPr>
          <w:rFonts w:ascii="Calibri" w:cs="Calibri" w:eastAsia="Calibri" w:hAnsi="Calibri"/>
          <w:sz w:val="21"/>
          <w:szCs w:val="21"/>
        </w:rPr>
        <w:t xml:space="preserve"/>
      </w:r>
    </w:p>
    <w:p>
      <w:pPr>
        <w:pStyle w:val="Heading2"/>
        <w:spacing w:after="120" w:before="240"/>
      </w:pPr>
      <w:r>
        <w:t xml:space="preserve">Delmål 2026</w:t>
      </w:r>
    </w:p>
    <w:p>
      <w:pPr>
        <w:pStyle w:val="ListParagraph"/>
        <w:numPr>
          <w:ilvl w:val="0"/>
          <w:numId w:val="1"/>
        </w:numPr>
        <w:spacing w:after="80"/>
      </w:pPr>
      <w:r>
        <w:t xml:space="preserve">Etablera en fungerande arbetsprocess och arbetsmiljö för granskningen (GIS-behörigheter, mallar, dokumentation).</w:t>
      </w:r>
    </w:p>
    <w:p>
      <w:pPr>
        <w:pStyle w:val="ListParagraph"/>
        <w:numPr>
          <w:ilvl w:val="0"/>
          <w:numId w:val="1"/>
        </w:numPr>
        <w:spacing w:after="80"/>
      </w:pPr>
      <w:r>
        <w:t xml:space="preserve">Genomföra skrivbordsgranskning av utbredning för länets 40 högst prioriterade Natura 2000-objekt (P1).</w:t>
      </w:r>
    </w:p>
    <w:p>
      <w:pPr>
        <w:pStyle w:val="ListParagraph"/>
        <w:numPr>
          <w:ilvl w:val="0"/>
          <w:numId w:val="1"/>
        </w:numPr>
        <w:spacing w:after="80"/>
      </w:pPr>
      <w:r>
        <w:t xml:space="preserve">Registrera tillstånd i NNK för de objekt där kunskap redan finns, efter driftsättning av nya NNK-attribut (beräknat slutet av september 2026).</w:t>
      </w:r>
    </w:p>
    <w:p>
      <w:pPr>
        <w:pStyle w:val="ListParagraph"/>
        <w:numPr>
          <w:ilvl w:val="0"/>
          <w:numId w:val="1"/>
        </w:numPr>
        <w:spacing w:after="80"/>
      </w:pPr>
      <w:r>
        <w:t xml:space="preserve">Samla in reservatsförvaltarnas lokalkännedom genom strukturerade förvaltarsamtal.</w:t>
      </w:r>
    </w:p>
    <w:p>
      <w:pPr>
        <w:pStyle w:val="ListParagraph"/>
        <w:numPr>
          <w:ilvl w:val="0"/>
          <w:numId w:val="1"/>
        </w:numPr>
        <w:spacing w:after="80"/>
      </w:pPr>
      <w:r>
        <w:t xml:space="preserve">Sammanställa kunskapsläget för länet och ta fram en plan för 2027, inklusive volym- och resursbehov.</w:t>
      </w:r>
    </w:p>
    <w:p>
      <w:pPr>
        <w:pStyle w:val="Heading1"/>
        <w:spacing w:after="160" w:before="360"/>
      </w:pPr>
      <w:r>
        <w:t xml:space="preserve">3. Leveranser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200"/>
        <w:gridCol w:w="900"/>
        <w:gridCol w:w="1800"/>
      </w:tblGrid>
      <w:tr>
        <w:trPr>
          <w:tblHeader/>
        </w:trPr>
        <w:tc>
          <w:tcPr>
            <w:tcW w:type="dxa" w:w="9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42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Leverans</w:t>
            </w:r>
          </w:p>
        </w:tc>
        <w:tc>
          <w:tcPr>
            <w:tcW w:type="dxa" w:w="12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Arb.paket</w:t>
            </w:r>
          </w:p>
        </w:tc>
        <w:tc>
          <w:tcPr>
            <w:tcW w:type="dxa" w:w="9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Vecka</w:t>
            </w:r>
          </w:p>
        </w:tc>
        <w:tc>
          <w:tcPr>
            <w:tcW w:type="dxa" w:w="18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Mottagare</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Fungerande arbetsplats och dokumenterad rollfördelning</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v36</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Internt</w:t>
            </w:r>
          </w:p>
        </w:tc>
      </w:tr>
      <w:tr>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L-H1</w:t>
            </w:r>
          </w:p>
        </w:tc>
        <w:tc>
          <w:tcPr>
            <w:tcW w:type="dxa" w:w="4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Förvaltarkarta: vem förvaltar vilka objekt</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w:t>
            </w:r>
          </w:p>
        </w:tc>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v36</w:t>
            </w:r>
          </w:p>
        </w:tc>
        <w:tc>
          <w:tcPr>
            <w:tcW w:type="dxa" w:w="18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Internt</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L-H2</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Ifyllda blanketter från förvaltarsamtalen</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v44</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Underlag till C, D, F</w:t>
            </w:r>
          </w:p>
        </w:tc>
      </w:tr>
      <w:tr>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L-C</w:t>
            </w:r>
          </w:p>
        </w:tc>
        <w:tc>
          <w:tcPr>
            <w:tcW w:type="dxa" w:w="4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Granskningslogg för 40 P1-objekt + lista över ytor som kräver fältkontroll 2027</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w:t>
            </w:r>
          </w:p>
        </w:tc>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v46</w:t>
            </w:r>
          </w:p>
        </w:tc>
        <w:tc>
          <w:tcPr>
            <w:tcW w:type="dxa" w:w="18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KartLitS WebbGIS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L-D</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Tillstånd registrerat i NNK där kunskap finns; resten dokumenterat som okänt</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v48</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NNK Ajourhålla</w:t>
            </w:r>
          </w:p>
        </w:tc>
      </w:tr>
      <w:tr>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L-G</w:t>
            </w:r>
          </w:p>
        </w:tc>
        <w:tc>
          <w:tcPr>
            <w:tcW w:type="dxa" w:w="4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Screening av naturreservat med volymuppskattning för 2027</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w:t>
            </w:r>
          </w:p>
        </w:tc>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v48</w:t>
            </w:r>
          </w:p>
        </w:tc>
        <w:tc>
          <w:tcPr>
            <w:tcW w:type="dxa" w:w="18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Underlag till F</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Kunskapslägesrapport Södermanlands län per 2026-12-31</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v50</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Naturvårdsverket, internt</w:t>
            </w:r>
          </w:p>
        </w:tc>
      </w:tr>
      <w:tr>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L-F1</w:t>
            </w:r>
          </w:p>
        </w:tc>
        <w:tc>
          <w:tcPr>
            <w:tcW w:type="dxa" w:w="4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Plan för 2027 (enligt Naturvårdsverkets FAQ, fråga 9)</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w:t>
            </w:r>
          </w:p>
        </w:tc>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v52</w:t>
            </w:r>
          </w:p>
        </w:tc>
        <w:tc>
          <w:tcPr>
            <w:tcW w:type="dxa" w:w="18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Naturvårdsverket</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L-F2</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Underlag till årsredovisningen 2026</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v52</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Länsledningen</w:t>
            </w:r>
          </w:p>
        </w:tc>
      </w:tr>
    </w:tbl>
    <w:p>
      <w:pPr>
        <w:pStyle w:val="Heading1"/>
        <w:spacing w:after="160" w:before="360"/>
      </w:pPr>
      <w:r>
        <w:t xml:space="preserve">4. Avgränsningar 2026</w:t>
      </w:r>
    </w:p>
    <w:p>
      <w:pPr>
        <w:spacing w:after="160"/>
      </w:pPr>
      <w:r>
        <w:rPr>
          <w:rFonts w:ascii="Calibri" w:cs="Calibri" w:eastAsia="Calibri" w:hAnsi="Calibri"/>
          <w:sz w:val="21"/>
          <w:szCs w:val="21"/>
        </w:rPr>
        <w:t xml:space="preserve">Att kunna motivera bortval är lika viktigt som att prioritera. Samtliga avgränsningar har stöd i Naturvårdsverkets vägledning (FAQ).</w:t>
      </w:r>
    </w:p>
    <w:p>
      <w:pPr>
        <w:pStyle w:val="ListParagraph"/>
        <w:numPr>
          <w:ilvl w:val="0"/>
          <w:numId w:val="1"/>
        </w:numPr>
        <w:spacing w:after="80"/>
      </w:pPr>
      <w:r>
        <w:t xml:space="preserve">Marina livsmiljötyper läggs inte in i NNK 2026 — utgör 95 % av länets osäkra utbredningsareal (ca 16 900 ha) men hanteras av nationella marina karteringar och NV:s arbetsgrupp för akvatiska miljöer, som startar hösten 2026.</w:t>
      </w:r>
    </w:p>
    <w:p>
      <w:pPr>
        <w:pStyle w:val="ListParagraph"/>
        <w:numPr>
          <w:ilvl w:val="0"/>
          <w:numId w:val="1"/>
        </w:numPr>
        <w:spacing w:after="80"/>
      </w:pPr>
      <w:r>
        <w:t xml:space="preserve">Limniska ytterkanter (strandlinjer, vattendragsgeometri) justeras inte.</w:t>
      </w:r>
    </w:p>
    <w:p>
      <w:pPr>
        <w:pStyle w:val="ListParagraph"/>
        <w:numPr>
          <w:ilvl w:val="0"/>
          <w:numId w:val="1"/>
        </w:numPr>
        <w:spacing w:after="80"/>
      </w:pPr>
      <w:r>
        <w:t xml:space="preserve">Fältkontroll flyttas till 2027 (beslut 2026-08-25). 2026 fokuserar på skrivbordsgranskning och förvaltarsamtal utifrån befintlig kunskap. Ytor som kräver fältbesök flaggas i granskningsloggen som underlag till fältplaneringen 2027.</w:t>
      </w:r>
    </w:p>
    <w:p>
      <w:pPr>
        <w:pStyle w:val="ListParagraph"/>
        <w:numPr>
          <w:ilvl w:val="0"/>
          <w:numId w:val="1"/>
        </w:numPr>
        <w:spacing w:after="80"/>
      </w:pPr>
      <w:r>
        <w:t xml:space="preserve">Tillståndsbedömningar med osäkert underlag görs inte — tidigare bedömning behålls, eller så anges okänt tillstånd med dokumenterad osäkerhet.</w:t>
      </w:r>
    </w:p>
    <w:p>
      <w:pPr>
        <w:pStyle w:val="ListParagraph"/>
        <w:numPr>
          <w:ilvl w:val="0"/>
          <w:numId w:val="1"/>
        </w:numPr>
        <w:spacing w:after="80"/>
      </w:pPr>
      <w:r>
        <w:t xml:space="preserve">Naturreservat och nationalpark utanför Natura 2000 får en översiktlig screening 2026, inte en fullständig genomgång (deadline 2027, inte 2028).</w:t>
      </w:r>
    </w:p>
    <w:p>
      <w:pPr>
        <w:pStyle w:val="ListParagraph"/>
        <w:numPr>
          <w:ilvl w:val="0"/>
          <w:numId w:val="1"/>
        </w:numPr>
        <w:spacing w:after="80"/>
      </w:pPr>
      <w:r>
        <w:t xml:space="preserve">Standard Data Form/N2000-databasen uppdateras inte manuellt — uppgifterna hämtas automatiskt från NNK.</w:t>
      </w:r>
    </w:p>
    <w:p>
      <w:pPr>
        <w:pStyle w:val="Heading1"/>
        <w:spacing w:after="160" w:before="360"/>
      </w:pPr>
      <w:r>
        <w:t xml:space="preserve">5. Prioritering</w:t>
      </w:r>
    </w:p>
    <w:p>
      <w:pPr>
        <w:spacing w:after="160"/>
      </w:pPr>
      <w:r>
        <w:rPr>
          <w:rFonts w:ascii="Calibri" w:cs="Calibri" w:eastAsia="Calibri" w:hAnsi="Calibri"/>
          <w:sz w:val="21"/>
          <w:szCs w:val="21"/>
        </w:rPr>
        <w:t xml:space="preserve">Länets 197 Natura 2000-objekt är indelade i fyra prioritetsklasser utifrån hävdberoende areal, andel sällsynta livsmiljötyper och osäkerhet.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3500"/>
      </w:tblGrid>
      <w:tr>
        <w:trPr>
          <w:tblHeader/>
        </w:trPr>
        <w:tc>
          <w:tcPr>
            <w:tcW w:type="dxa" w:w="9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Klass</w:t>
            </w:r>
          </w:p>
        </w:tc>
        <w:tc>
          <w:tcPr>
            <w:tcW w:type="dxa" w:w="14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Objekt</w:t>
            </w:r>
          </w:p>
        </w:tc>
        <w:tc>
          <w:tcPr>
            <w:tcW w:type="dxa" w:w="32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Kriterium</w:t>
            </w:r>
          </w:p>
        </w:tc>
        <w:tc>
          <w:tcPr>
            <w:tcW w:type="dxa" w:w="35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Insats 2026</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20 ha hävdberoende och/eller ≥ 5 ha sällsynt livsmiljötyp</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Full skrivbordsgranskning utifrån befintlig kunskap</w:t>
            </w:r>
          </w:p>
        </w:tc>
      </w:tr>
      <w:tr>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P2</w:t>
            </w:r>
          </w:p>
        </w:tc>
        <w:tc>
          <w:tcPr>
            <w:tcW w:type="dxa" w:w="14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43</w:t>
            </w:r>
          </w:p>
        </w:tc>
        <w:tc>
          <w:tcPr>
            <w:tcW w:type="dxa" w:w="3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20 ha terrester livsmiljötyp eller ≥ 5 ha osäker/obestämd naturtyp</w:t>
            </w:r>
          </w:p>
        </w:tc>
        <w:tc>
          <w:tcPr>
            <w:tcW w:type="dxa" w:w="35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Granskning om tid finns, annars 2027</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P3</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108</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Övriga objekt med terrester livsmiljötyp</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2027</w:t>
            </w:r>
          </w:p>
        </w:tc>
      </w:tr>
      <w:tr>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P4</w:t>
            </w:r>
          </w:p>
        </w:tc>
        <w:tc>
          <w:tcPr>
            <w:tcW w:type="dxa" w:w="14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w:t>
            </w:r>
          </w:p>
        </w:tc>
        <w:tc>
          <w:tcPr>
            <w:tcW w:type="dxa" w:w="3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Ingen terrester livsmiljötyp (rent limniska/marina objekt)</w:t>
            </w:r>
          </w:p>
        </w:tc>
        <w:tc>
          <w:tcPr>
            <w:tcW w:type="dxa" w:w="35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Ingen insats — dokumenteras som medvetet nedprioriterat</w:t>
            </w:r>
          </w:p>
        </w:tc>
      </w:tr>
    </w:tbl>
    <w:p>
      <w:pPr>
        <w:spacing w:after="160"/>
      </w:pPr>
      <w:r>
        <w:rPr>
          <w:rFonts w:ascii="Calibri" w:cs="Calibri" w:eastAsia="Calibri" w:hAnsi="Calibri"/>
          <w:sz w:val="21"/>
          <w:szCs w:val="21"/>
        </w:rPr>
        <w:t xml:space="preserve"/>
      </w:r>
    </w:p>
    <w:p>
      <w:pPr>
        <w:spacing w:after="160"/>
      </w:pPr>
      <w:r>
        <w:rPr>
          <w:rFonts w:ascii="Calibri" w:cs="Calibri" w:eastAsia="Calibri" w:hAnsi="Calibri"/>
          <w:sz w:val="21"/>
          <w:szCs w:val="21"/>
        </w:rPr>
        <w:t xml:space="preserve">De 40 P1-objekten täcker 66 % av länets terrestra livsmiljötypsareal och 79 % av den hävdberoende arealen, och är därmed styrande för hela höstens arbete.</w:t>
      </w:r>
    </w:p>
    <w:p>
      <w:pPr>
        <w:pStyle w:val="Heading1"/>
        <w:spacing w:after="160" w:before="360"/>
      </w:pPr>
      <w:r>
        <w:t xml:space="preserve">6. Organisation och roller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Roll</w:t>
            </w:r>
          </w:p>
        </w:tc>
        <w:tc>
          <w:tcPr>
            <w:tcW w:type="dxa" w:w="60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Ansvar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Projektledare (Johan, naturskyddshandläggare, 100 %)</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Projektledning, metodik, all NNK-redigering, tillståndsbedömningar, storobjekten, planen till Naturvårdsverket</w:t>
            </w:r>
          </w:p>
        </w:tc>
      </w:tr>
      <w:tr>
        <w:tc>
          <w:tcPr>
            <w:tcW w:type="dxa" w:w="3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Kollega (Karin, ca 50 %)</w:t>
            </w:r>
          </w:p>
        </w:tc>
        <w:tc>
          <w:tcPr>
            <w:tcW w:type="dxa" w:w="6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Skrivbordsgranskning av batch B/C/D, dataunderlag och NNK-uttag, förvaltarbokningar, eftersök av underlag, screening av naturreservat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Naturskyddsenhetens chef</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Styrning, prioritering, mandat, eskalering, avstämning vid respektive milstolpe</w:t>
            </w:r>
          </w:p>
        </w:tc>
      </w:tr>
      <w:tr>
        <w:tc>
          <w:tcPr>
            <w:tcW w:type="dxa" w:w="3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Naturvårdsenheten (reservatsförvaltare)</w:t>
            </w:r>
          </w:p>
        </w:tc>
        <w:tc>
          <w:tcPr>
            <w:tcW w:type="dxa" w:w="6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Lokalkännedom om förvaltade objekt, deltagande i förvaltarsamtal, underlag om skötselhistorik</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GIS-enheten / Geodatasamordning</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Åtkomst till ArcGIS Enterprise, publicering av granskningslager och karttjänster</w:t>
            </w:r>
          </w:p>
        </w:tc>
      </w:tr>
      <w:tr>
        <w:tc>
          <w:tcPr>
            <w:tcW w:type="dxa" w:w="3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Naturvårdsverket (NV)</w:t>
            </w:r>
          </w:p>
        </w:tc>
        <w:tc>
          <w:tcPr>
            <w:tcW w:type="dxa" w:w="6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Nationell samordning, vägledning, mottagare av leveranser, ansvarig för rapportering vidare till EU</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Kommuner i länet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Dialog om lokala restaureringsinsatser (från 2027)</w:t>
            </w:r>
          </w:p>
        </w:tc>
      </w:tr>
      <w:tr>
        <w:tc>
          <w:tcPr>
            <w:tcW w:type="dxa" w:w="3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Markägare</w:t>
            </w:r>
          </w:p>
        </w:tc>
        <w:tc>
          <w:tcPr>
            <w:tcW w:type="dxa" w:w="6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Samverkan kring åtgärder på privat mark (från 2027)</w:t>
            </w:r>
          </w:p>
        </w:tc>
      </w:tr>
    </w:tbl>
    <w:p>
      <w:pPr>
        <w:pStyle w:val="Heading1"/>
        <w:spacing w:after="160" w:before="360"/>
      </w:pPr>
      <w:r>
        <w:t xml:space="preserve">7. Tidsplan och milstolpar</w:t>
      </w:r>
    </w:p>
    <w:p>
      <w:pPr>
        <w:spacing w:after="160"/>
      </w:pPr>
      <w:r>
        <w:rPr>
          <w:rFonts w:ascii="Calibri" w:cs="Calibri" w:eastAsia="Calibri" w:hAnsi="Calibri"/>
          <w:sz w:val="21"/>
          <w:szCs w:val="21"/>
        </w:rPr>
        <w:t xml:space="preserve">Arbetet 2026 är organiserat i sju arbetspaket, v34–v52 (augusti–december).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500"/>
      </w:tblGrid>
      <w:tr>
        <w:trPr>
          <w:tblHeader/>
        </w:trPr>
        <w:tc>
          <w:tcPr>
            <w:tcW w:type="dxa" w:w="9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Paket</w:t>
            </w:r>
          </w:p>
        </w:tc>
        <w:tc>
          <w:tcPr>
            <w:tcW w:type="dxa" w:w="56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Beskrivning</w:t>
            </w:r>
          </w:p>
        </w:tc>
        <w:tc>
          <w:tcPr>
            <w:tcW w:type="dxa" w:w="25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Period</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Etablering och förutsättningar — systembehörigheter, metodik, rollfördelning, arbetsmiljö för dokumentation</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v34–v36</w:t>
            </w:r>
          </w:p>
        </w:tc>
      </w:tr>
      <w:tr>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w:t>
            </w:r>
          </w:p>
        </w:tc>
        <w:tc>
          <w:tcPr>
            <w:tcW w:type="dxa" w:w="56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Skrivbordsgranskning av utbredning — batch för batch, mot bevarandeplan, ortofoto, TUVA/VMI/VISS/Artportalen</w:t>
            </w:r>
          </w:p>
        </w:tc>
        <w:tc>
          <w:tcPr>
            <w:tcW w:type="dxa" w:w="25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v35–v46</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Tillståndsbedömning i NNK — registrering där kunskap redan finns, efter driftsättning av nya attribut</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v40–v50</w:t>
            </w:r>
          </w:p>
        </w:tc>
      </w:tr>
      <w:tr>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w:t>
            </w:r>
          </w:p>
        </w:tc>
        <w:tc>
          <w:tcPr>
            <w:tcW w:type="dxa" w:w="56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Sammanställning av kunskapsläget — statistik per objekt och livsmiljötyp, kvantifiering av kvarstående osäkerhet</w:t>
            </w:r>
          </w:p>
        </w:tc>
        <w:tc>
          <w:tcPr>
            <w:tcW w:type="dxa" w:w="25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v45–v50</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Plan för 2027 — årets huvudleverans till Naturvårdsverket</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v46–v52</w:t>
            </w:r>
          </w:p>
        </w:tc>
      </w:tr>
      <w:tr>
        <w:tc>
          <w:tcPr>
            <w:tcW w:type="dxa" w:w="9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w:t>
            </w:r>
          </w:p>
        </w:tc>
        <w:tc>
          <w:tcPr>
            <w:tcW w:type="dxa" w:w="56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Naturreservat och nationalpark — parallell screening utanför Natura 2000</w:t>
            </w:r>
          </w:p>
        </w:tc>
        <w:tc>
          <w:tcPr>
            <w:tcW w:type="dxa" w:w="25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v42–v52</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w:t>
            </w:r>
          </w:p>
        </w:tc>
        <w:tc>
          <w:tcPr>
            <w:tcW w:type="dxa" w:w="5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Förvaltardialog — insamling av Naturvårdsenhetens lokalkännedom</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v35–v48</w:t>
            </w:r>
          </w:p>
        </w:tc>
      </w:tr>
    </w:tbl>
    <w:p>
      <w:pPr>
        <w:spacing w:after="160"/>
      </w:pPr>
      <w:r>
        <w:rPr>
          <w:rFonts w:ascii="Calibri" w:cs="Calibri" w:eastAsia="Calibri" w:hAnsi="Calibri"/>
          <w:sz w:val="21"/>
          <w:szCs w:val="21"/>
        </w:rPr>
        <w:t xml:space="preserve"/>
      </w:r>
    </w:p>
    <w:p>
      <w:pPr>
        <w:pStyle w:val="Heading2"/>
        <w:spacing w:after="120" w:before="240"/>
      </w:pPr>
      <w:r>
        <w:t xml:space="preserve">Milstolpar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200"/>
        <w:gridCol w:w="2100"/>
      </w:tblGrid>
      <w:tr>
        <w:trPr>
          <w:tblHeader/>
        </w:trPr>
        <w:tc>
          <w:tcPr>
            <w:tcW w:type="dxa" w:w="7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50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Milstolpe</w:t>
            </w:r>
          </w:p>
        </w:tc>
        <w:tc>
          <w:tcPr>
            <w:tcW w:type="dxa" w:w="12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Vecka</w:t>
            </w:r>
          </w:p>
        </w:tc>
        <w:tc>
          <w:tcPr>
            <w:tcW w:type="dxa" w:w="21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Datum</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M1</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Arbetsplats, behörigheter och metodik på plats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v36</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2026-09-04</w:t>
            </w:r>
          </w:p>
        </w:tc>
      </w:tr>
      <w:tr>
        <w:tc>
          <w:tcPr>
            <w:tcW w:type="dxa" w:w="7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M2</w:t>
            </w:r>
          </w:p>
        </w:tc>
        <w:tc>
          <w:tcPr>
            <w:tcW w:type="dxa" w:w="5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Batch B granskad — rutinen kalibrerad</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v38</w:t>
            </w:r>
          </w:p>
        </w:tc>
        <w:tc>
          <w:tcPr>
            <w:tcW w:type="dxa" w:w="21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2026-09-18</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M3</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Nya NNK-attribut driftsatta, utbildning genomförd</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v40</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2026-10-02</w:t>
            </w:r>
          </w:p>
        </w:tc>
      </w:tr>
      <w:tr>
        <w:tc>
          <w:tcPr>
            <w:tcW w:type="dxa" w:w="7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M4</w:t>
            </w:r>
          </w:p>
        </w:tc>
        <w:tc>
          <w:tcPr>
            <w:tcW w:type="dxa" w:w="5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Förvaltardialogen genomförd, kunskapen registrerad</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v44</w:t>
            </w:r>
          </w:p>
        </w:tc>
        <w:tc>
          <w:tcPr>
            <w:tcW w:type="dxa" w:w="21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2026-10-30</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M5</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Samtliga 40 P1-objekt skrivbordsgranskade</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v46</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2026-11-13</w:t>
            </w:r>
          </w:p>
        </w:tc>
      </w:tr>
      <w:tr>
        <w:tc>
          <w:tcPr>
            <w:tcW w:type="dxa" w:w="7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M6</w:t>
            </w:r>
          </w:p>
        </w:tc>
        <w:tc>
          <w:tcPr>
            <w:tcW w:type="dxa" w:w="50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Kunskapslägesrapport Södermanlands län klar</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v50</w:t>
            </w:r>
          </w:p>
        </w:tc>
        <w:tc>
          <w:tcPr>
            <w:tcW w:type="dxa" w:w="21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2026-12-11</w:t>
            </w:r>
          </w:p>
        </w:tc>
      </w:tr>
      <w:t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M7</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Plan för 2027 levererad till Naturvårdsverket</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v52</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2026-12-23</w:t>
            </w:r>
          </w:p>
        </w:tc>
      </w:tr>
    </w:tbl>
    <w:p>
      <w:pPr>
        <w:pStyle w:val="Heading1"/>
        <w:spacing w:after="160" w:before="360"/>
      </w:pPr>
      <w:r>
        <w:t xml:space="preserve">8. Arbetsstruktur och styrande dokument</w:t>
      </w:r>
    </w:p>
    <w:p>
      <w:pPr>
        <w:spacing w:after="160"/>
      </w:pPr>
      <w:r>
        <w:rPr>
          <w:rFonts w:ascii="Calibri" w:cs="Calibri" w:eastAsia="Calibri" w:hAnsi="Calibri"/>
          <w:sz w:val="21"/>
          <w:szCs w:val="21"/>
        </w:rPr>
        <w:t xml:space="preserve">Projektets dokumentation och data är organiserad i tre separata GitHub-repon, uppdelade efter offentlighet och innehåll: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Repo</w:t>
            </w:r>
          </w:p>
        </w:tc>
        <w:tc>
          <w:tcPr>
            <w:tcW w:type="dxa" w:w="16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Synlighet</w:t>
            </w:r>
          </w:p>
        </w:tc>
        <w:tc>
          <w:tcPr>
            <w:tcW w:type="dxa" w:w="52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Innehåll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lansstyrelsen-nrr</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Publikt</w:t>
            </w:r>
          </w:p>
        </w:tc>
        <w:tc>
          <w:tcPr>
            <w:tcW w:type="dxa" w:w="5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Denna projektplan, projektöversikt, datakällor. GitHub Pages: projektöversikten för hela NRF-uppdraget.</w:t>
            </w:r>
          </w:p>
        </w:tc>
      </w:tr>
      <w:tr>
        <w:tc>
          <w:tcPr>
            <w:tcW w:type="dxa" w:w="2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nnk-granskning-2026</w:t>
            </w:r>
          </w:p>
        </w:tc>
        <w:tc>
          <w:tcPr>
            <w:tcW w:type="dxa" w:w="16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Publikt</w:t>
            </w:r>
          </w:p>
        </w:tc>
        <w:tc>
          <w:tcPr>
            <w:tcW w:type="dxa" w:w="5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Detaljerad arbetsplan, runbook (58 uppgifter) och kontrollrum (Gantt med avbockning). Endast eget material — inga underlag från Naturvårdsverket, ingen rådata eller bedömningsdata. GitHub Pages: ulfboge.github.io/nnk-granskning-2026</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natura-2000</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Privat</w:t>
            </w:r>
          </w:p>
        </w:tc>
        <w:tc>
          <w:tcPr>
            <w:tcW w:type="dxa" w:w="5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Datapipeline, Origo-webbkarta, ArcGIS Pro-projekt, rådata och Naturvårdsverkets underlagsfiler. Källan till uppgiftsregistret som genererar kontrollrummet.</w:t>
            </w:r>
          </w:p>
        </w:tc>
      </w:tr>
    </w:tbl>
    <w:p>
      <w:pPr>
        <w:spacing w:after="160"/>
      </w:pPr>
      <w:r>
        <w:rPr>
          <w:rFonts w:ascii="Calibri" w:cs="Calibri" w:eastAsia="Calibri" w:hAnsi="Calibri"/>
          <w:sz w:val="21"/>
          <w:szCs w:val="21"/>
        </w:rPr>
        <w:t xml:space="preserve"/>
      </w:r>
    </w:p>
    <w:p>
      <w:pPr>
        <w:spacing w:after="160"/>
      </w:pPr>
      <w:r>
        <w:rPr>
          <w:rFonts w:ascii="Calibri" w:cs="Calibri" w:eastAsia="Calibri" w:hAnsi="Calibri"/>
          <w:sz w:val="21"/>
          <w:szCs w:val="21"/>
        </w:rPr>
        <w:t xml:space="preserve">Bedömningsdata och granskningsloggen (per-objekt-noteringar om osäkerheter) förs i en Excel-mall på länsstyrelsens gemensamma serverutrymme (G:) — inte i något av repona — eftersom innehållet räknas som bedömningsdata och inte får publiceras offentligt.</w:t>
      </w:r>
    </w:p>
    <w:p>
      <w:pPr>
        <w:pStyle w:val="Heading1"/>
        <w:spacing w:after="160" w:before="360"/>
      </w:pPr>
      <w:r>
        <w:t xml:space="preserve">9. Risker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400"/>
      </w:tblGrid>
      <w:tr>
        <w:trPr>
          <w:tblHeader/>
        </w:trPr>
        <w:tc>
          <w:tcPr>
            <w:tcW w:type="dxa" w:w="32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w:t>
            </w:r>
          </w:p>
        </w:tc>
        <w:tc>
          <w:tcPr>
            <w:tcW w:type="dxa" w:w="12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Sannolikhet</w:t>
            </w:r>
          </w:p>
        </w:tc>
        <w:tc>
          <w:tcPr>
            <w:tcW w:type="dxa" w:w="12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Konsekvens</w:t>
            </w:r>
          </w:p>
        </w:tc>
        <w:tc>
          <w:tcPr>
            <w:tcW w:type="dxa" w:w="3400"/>
            <w:shd w:fill="1F4E5F"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Åtgärd</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Nya NNK-attribut driftsätts inte i tid (planerat slutet av september)</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Hög</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Fyll v40–v43 med arbetspaket C i stället; dokumentera bedömningar löpande så inget arbete går förlorat</w:t>
            </w:r>
          </w:p>
        </w:tc>
      </w:tr>
      <w:tr>
        <w:tc>
          <w:tcPr>
            <w:tcW w:type="dxa" w:w="3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Vägledningar för terrestra livsmiljötyper inte fastställda i tid</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34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Naturvårdsverket tillåter att man avvaktar — dokumentera vilka livsmiljötyper som blockeras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Storobjekten (Skärgårdsreservaten, Nynäs — 44 % av länets polygoner) tar hela höstens tid</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Hög</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Hög</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Stratifierad granskningsmetod, tidsatt fönster v41–v46, hård avgränsning mot marint</w:t>
            </w:r>
          </w:p>
        </w:tc>
      </w:tr>
      <w:tr>
        <w:tc>
          <w:tcPr>
            <w:tcW w:type="dxa" w:w="3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Granskningslagret “LstD NNK granskning” inte publicerat i tid — blockerar allt WebbGIS-baserat arbete</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Hög</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Hög</w:t>
            </w:r>
          </w:p>
        </w:tc>
        <w:tc>
          <w:tcPr>
            <w:tcW w:type="dxa" w:w="34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Skicka uttagsbeställningen omgående; eskalera via Naturvårdsverkets funktionsbrevlåda om inget svar inom en vecka</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Fler ytor än väntat kräver fältbesök, men ingen fältkontroll görs 2026</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Dokumentera i granskningsloggen som prioriterat underlag till fältplaneringen 2027</w:t>
            </w:r>
          </w:p>
        </w:tc>
      </w:tr>
      <w:tr>
        <w:tc>
          <w:tcPr>
            <w:tcW w:type="dxa" w:w="3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Försenad systemåtkomst (ArcGIS, NNK Ajourhålla)</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Hög</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34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Börja med det som går utan skrivrättighet i NNK: bevarandeplaner, WebbGIS-mallen, statistikuttaget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Underlaget (96 % från basinventeringen, före 2011) visar sig sämre än väntat vid granskning</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Kvantifiera bristerna och lyft dem som insatsbehov i planen för 2027, snarare än att göra om karteringen själv</w:t>
            </w:r>
          </w:p>
        </w:tc>
      </w:tr>
      <w:tr>
        <w:tc>
          <w:tcPr>
            <w:tcW w:type="dxa" w:w="3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Kollegans 50 % tid äts upp av andra uppgifter på enheten</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12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Medel</w:t>
            </w:r>
          </w:p>
        </w:tc>
        <w:tc>
          <w:tcPr>
            <w:tcW w:type="dxa" w:w="3400"/>
            <w:shd w:fill="EAF1F1"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Lägg kollegans arbete på avgränsade, pausbara batchar som inte blockerar huvudspåret</w:t>
            </w:r>
          </w:p>
        </w:tc>
      </w:tr>
    </w:tbl>
    <w:p>
      <w:pPr>
        <w:pStyle w:val="Heading1"/>
        <w:spacing w:after="160" w:before="360"/>
      </w:pPr>
      <w:r>
        <w:t xml:space="preserve">10. Nuläge per 2026-09-04</w:t>
      </w:r>
    </w:p>
    <w:p>
      <w:pPr>
        <w:spacing w:after="160"/>
      </w:pPr>
      <w:r>
        <w:rPr>
          <w:rFonts w:ascii="Calibri" w:cs="Calibri" w:eastAsia="Calibri" w:hAnsi="Calibri"/>
          <w:sz w:val="21"/>
          <w:szCs w:val="21"/>
        </w:rPr>
        <w:t xml:space="preserve">Milstolpe M1 (arbetsplats, behörigheter och metodik på plats) infaller denna vecka. Per den 2 september var 9 av 58 uppgifter i kontrollrummet avklarade: systembehörigheter beställda och NNK-utcheckning testad (A1.1–A1.2), åtkomst till samverkansytan (A1.3), handledning och kodlista genomgångna (A2.1–A2.2), KartLitS-mallen installerad och testad (A2.3), avstämning med chef genomförd (A3.1), rollfördelning med kollegan satt (A3.3), samt förvaltarkartläggningen (H1.1) — till stor del automatiserad genom matchning mot länsstyrelsens befintliga förvaltarlista.</w:t>
      </w:r>
    </w:p>
    <w:p>
      <w:pPr>
        <w:spacing w:after="160"/>
      </w:pPr>
      <w:r>
        <w:rPr>
          <w:rFonts w:ascii="Calibri" w:cs="Calibri" w:eastAsia="Calibri" w:hAnsi="Calibri"/>
          <w:sz w:val="21"/>
          <w:szCs w:val="21"/>
        </w:rPr>
        <w:t xml:space="preserve">Öppen risk: det länsspecifika granskningslagret (“LstD NNK granskning”) är ännu inte begärt och publicerat (uppgift A2.5–A2.8). Det blockerar allt WebbGIS-baserat granskningsarbete och bör prioriteras närmast.</w:t>
      </w:r>
    </w:p>
    <w:p>
      <w:pPr>
        <w:pStyle w:val="Heading1"/>
        <w:spacing w:after="160" w:before="360"/>
      </w:pPr>
      <w:r>
        <w:t xml:space="preserve">11. Uppföljning och styrning</w:t>
      </w:r>
    </w:p>
    <w:p>
      <w:pPr>
        <w:pStyle w:val="ListParagraph"/>
        <w:numPr>
          <w:ilvl w:val="0"/>
          <w:numId w:val="1"/>
        </w:numPr>
        <w:spacing w:after="80"/>
      </w:pPr>
      <w:r>
        <w:t xml:space="preserve">Veckoavstämning mellan projektledare och kollega, 30 minuter varje måndag.</w:t>
      </w:r>
    </w:p>
    <w:p>
      <w:pPr>
        <w:pStyle w:val="ListParagraph"/>
        <w:numPr>
          <w:ilvl w:val="0"/>
          <w:numId w:val="1"/>
        </w:numPr>
        <w:spacing w:after="80"/>
      </w:pPr>
      <w:r>
        <w:t xml:space="preserve">Månadsavstämning med chef, förlagd till respektive milstolpe (M1, M3, M5, M6).</w:t>
      </w:r>
    </w:p>
    <w:p>
      <w:pPr>
        <w:pStyle w:val="ListParagraph"/>
        <w:numPr>
          <w:ilvl w:val="0"/>
          <w:numId w:val="1"/>
        </w:numPr>
        <w:spacing w:after="80"/>
      </w:pPr>
      <w:r>
        <w:t xml:space="preserve">Granskningsloggen (G:-mappen) uppdateras löpande och är underlaget till både kunskapslägesrapporten (E) och planen för 2027 (F).</w:t>
      </w:r>
    </w:p>
    <w:p>
      <w:pPr>
        <w:pStyle w:val="ListParagraph"/>
        <w:numPr>
          <w:ilvl w:val="0"/>
          <w:numId w:val="1"/>
        </w:numPr>
        <w:spacing w:after="80"/>
      </w:pPr>
      <w:r>
        <w:t xml:space="preserve">Nytt NNK-uttag i v45 med samma struktur som januariuttaget, för att mätbart visa hur andelen bedömda polygoner har utvecklats.</w:t>
      </w:r>
    </w:p>
    <w:p>
      <w:pPr>
        <w:pStyle w:val="ListParagraph"/>
        <w:numPr>
          <w:ilvl w:val="0"/>
          <w:numId w:val="1"/>
        </w:numPr>
        <w:spacing w:after="80"/>
      </w:pPr>
      <w:r>
        <w:t xml:space="preserve">Denna projektplan uppdateras vid större beslut eller vid varje milstolpe — inte varje vecka. Löpande, uppgiftsnivå-uppföljning sker i det offentliga kontrollrummet (se titelsidan).</w:t>
      </w:r>
    </w:p>
    <w:p>
      <w:pPr>
        <w:spacing w:after="160"/>
      </w:pPr>
      <w:r>
        <w:rPr>
          <w:rFonts w:ascii="Calibri" w:cs="Calibri" w:eastAsia="Calibri" w:hAnsi="Calibri"/>
          <w:sz w:val="21"/>
          <w:szCs w:val="21"/>
        </w:rPr>
        <w:t xml:space="preserve"/>
      </w:r>
    </w:p>
    <w:p>
      <w:pPr>
        <w:spacing w:after="160"/>
      </w:pPr>
      <w:r>
        <w:rPr>
          <w:rFonts w:ascii="Calibri" w:cs="Calibri" w:eastAsia="Calibri" w:hAnsi="Calibri"/>
          <w:i/>
          <w:iCs/>
          <w:color w:val="666666"/>
          <w:sz w:val="18"/>
          <w:szCs w:val="18"/>
        </w:rPr>
        <w:t xml:space="preserve">Version 2.0 — upprättad 2026-09-04, baserad på arbetsplan v1.5 (2026-08-25) och uppgiftsregistret i kontrollrummet. Ersätter version 1.1 (2026-05-27), som föregick anställningens start och inte återspeglade beslutet att flytta fältarbetet till 2027.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60" w:before="360"/>
    </w:pPr>
    <w:rPr>
      <w:rFonts w:ascii="Calibri" w:cs="Calibri" w:eastAsia="Calibri" w:hAnsi="Calibri"/>
      <w:b/>
      <w:bCs/>
      <w:color w:val="1F4E5F"/>
      <w:sz w:val="28"/>
      <w:szCs w:val="28"/>
    </w:rPr>
  </w:style>
  <w:style w:type="paragraph" w:styleId="Heading2">
    <w:name w:val="Heading 2"/>
    <w:basedOn w:val="Normal"/>
    <w:next w:val="Normal"/>
    <w:qFormat/>
    <w:pPr>
      <w:spacing w:after="120" w:before="260"/>
    </w:pPr>
    <w:rPr>
      <w:rFonts w:ascii="Calibri" w:cs="Calibri" w:eastAsia="Calibri" w:hAnsi="Calibri"/>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2026-09-04T06:45:52.149Z</dcterms:created>
  <dcterms:modified xsi:type="dcterms:W3CDTF">2026-09-04T06:45:52.162Z</dcterms:modified>
</cp:coreProperties>
</file>

<file path=docProps/custom.xml><?xml version="1.0" encoding="utf-8"?>
<Properties xmlns="http://schemas.openxmlformats.org/officeDocument/2006/custom-properties" xmlns:vt="http://schemas.openxmlformats.org/officeDocument/2006/docPropsVTypes"/>
</file>