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tabs>
          <w:tab w:val="left" w:pos="708" w:leader="none"/>
        </w:tabs>
        <w:rPr>
          <w:rFonts w:ascii="Times New Roman" w:hAnsi="Times New Roman" w:cs="Times New Roman" w:eastAsia="Times New Roman"/>
          <w:sz w:val="24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pl-PL"/>
        </w:rPr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lang w:val="pl-PL"/>
        </w:rPr>
        <w:t xml:space="preserve">     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  </w:t>
      </w:r>
      <w:r>
        <w:rPr>
          <w:rFonts w:ascii="Times New Roman" w:hAnsi="Times New Roman" w:cs="Times New Roman" w:eastAsia="Times New Roman"/>
          <w:color w:val="000000"/>
          <w:sz w:val="24"/>
          <w:lang w:val="pl-PL"/>
        </w:rPr>
        <w:t xml:space="preserve">     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lang w:val="pl-PL"/>
        </w:rPr>
        <w:t xml:space="preserve">  </w:t>
      </w:r>
      <w:r>
        <w:rPr>
          <w:rFonts w:ascii="Times New Roman" w:hAnsi="Times New Roman" w:cs="Times New Roman" w:eastAsia="Times New Roman"/>
          <w:color w:val="000000"/>
          <w:sz w:val="24"/>
          <w:lang w:val="pl-P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807" cy="78622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761805" cy="786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60.0pt;height:61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lang w:val="pl-PL"/>
        </w:rPr>
        <w:t xml:space="preserve"> </w:t>
      </w:r>
      <w:r>
        <w:rPr>
          <w:lang w:val="pl-PL"/>
        </w:rPr>
      </w:r>
      <w:r/>
    </w:p>
    <w:p>
      <w:pPr>
        <w:pStyle w:val="414"/>
        <w:ind w:left="0" w:right="0" w:firstLine="0"/>
        <w:jc w:val="left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     WOJEWODA DOLNOŚLĄSKI                                                         </w:t>
      </w:r>
      <w:r>
        <w:rPr>
          <w:rFonts w:ascii="Times New Roman" w:hAnsi="Times New Roman" w:cs="Times New Roman" w:eastAsia="Times New Roman"/>
          <w:b w:val="false"/>
          <w:color w:val="000000"/>
          <w:sz w:val="20"/>
          <w:lang w:val="pl-PL"/>
        </w:rPr>
        <w:t xml:space="preserve">    Wrocław, dnia        </w:t>
      </w:r>
      <w:r>
        <w:rPr>
          <w:rFonts w:ascii="Times New Roman" w:hAnsi="Times New Roman" w:cs="Times New Roman" w:eastAsia="Times New Roman"/>
          <w:b w:val="false"/>
          <w:color w:val="000000"/>
          <w:sz w:val="20"/>
          <w:lang w:val="pl-PL"/>
        </w:rPr>
        <w:t xml:space="preserve">maja 2024 r.</w:t>
      </w:r>
      <w:r>
        <w:rPr>
          <w:rFonts w:ascii="Times New Roman" w:hAnsi="Times New Roman" w:cs="Times New Roman" w:eastAsia="Times New Roman"/>
          <w:b w:val="false"/>
          <w:color w:val="000000"/>
          <w:sz w:val="20"/>
          <w:lang w:val="pl-PL"/>
        </w:rPr>
        <w:t xml:space="preserve">  </w:t>
      </w:r>
      <w:r>
        <w:rPr>
          <w:lang w:val="pl-PL"/>
        </w:rPr>
      </w:r>
      <w:r/>
    </w:p>
    <w:p>
      <w:pPr>
        <w:ind w:left="0" w:right="0" w:firstLine="0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lang w:val="pl-PL"/>
        </w:rPr>
        <w:t xml:space="preserve"> </w:t>
      </w:r>
      <w:r>
        <w:rPr>
          <w:lang w:val="pl-PL"/>
        </w:rPr>
      </w:r>
      <w:r/>
    </w:p>
    <w:p>
      <w:pPr>
        <w:ind w:left="0" w:right="0" w:firstLine="0"/>
        <w:jc w:val="both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    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SOC-PCI.6151.1.804.2024.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AZ</w:t>
      </w:r>
      <w:r>
        <w:rPr>
          <w:lang w:val="pl-PL"/>
        </w:rPr>
      </w:r>
      <w:r/>
    </w:p>
    <w:p>
      <w:pPr>
        <w:pStyle w:val="410"/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2"/>
          <w:lang w:val="pl-PL"/>
        </w:rPr>
        <w:t xml:space="preserve"> </w:t>
      </w:r>
      <w:r>
        <w:rPr>
          <w:lang w:val="pl-PL"/>
        </w:rPr>
      </w:r>
      <w:r/>
    </w:p>
    <w:p>
      <w:pPr>
        <w:pStyle w:val="410"/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D E C Y Z J A</w:t>
      </w:r>
      <w:r>
        <w:rPr>
          <w:lang w:val="pl-PL"/>
        </w:rPr>
      </w:r>
      <w:r/>
    </w:p>
    <w:p>
      <w:pPr>
        <w:ind w:left="0" w:right="0" w:firstLine="0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lang w:val="pl-PL"/>
        </w:rPr>
        <w:t xml:space="preserve"> </w:t>
      </w:r>
      <w:r>
        <w:rPr>
          <w:lang w:val="pl-PL"/>
        </w:rPr>
      </w:r>
      <w:r/>
    </w:p>
    <w:p>
      <w:pPr>
        <w:ind w:left="0" w:right="0" w:firstLine="0"/>
        <w:jc w:val="both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lang w:val="pl-PL"/>
        </w:rPr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Na podstawie art. 158 ust. 1 pkt 1 w związku z art. 98 ust. 1 i 2, art. 104 ust. 1, art. 240 pkt 1 i art. 242 ustawy z dnia 12 grudnia 2013 r. o cudzoziemcach (t.j. Dz. U. z 2023 r. poz. 519)</w:t>
      </w:r>
      <w:r>
        <w:rPr>
          <w:lang w:val="pl-PL"/>
        </w:rPr>
      </w:r>
      <w:r/>
    </w:p>
    <w:p>
      <w:pPr>
        <w:ind w:left="0" w:right="0" w:firstLine="0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 </w:t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p o   r o z p a t r z e n i u   w n i o s k u</w:t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z dnia 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16 lutego 2024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 roku, Pani 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Yuliia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JAWORSKA</w:t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lang w:val="pl-PL"/>
        </w:rPr>
        <w:t xml:space="preserve"> </w:t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u d z i e l a m</w:t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color w:val="000000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zezwolenia na pobyt czasowy do dnia          maja 2027 roku</w:t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obywatelce 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Ukrainy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, Pani 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Yuliia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JAWORSKA, 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</w:r>
      <w:r/>
    </w:p>
    <w:p>
      <w:pPr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ur. 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1 września 1992 </w:t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r. </w:t>
      </w:r>
      <w:r/>
    </w:p>
    <w:p>
      <w:pPr>
        <w:ind w:firstLine="0"/>
        <w:jc w:val="center"/>
      </w:pPr>
      <w:r>
        <w:rPr>
          <w:lang w:val="pl-PL"/>
        </w:rPr>
      </w:r>
      <w:r/>
      <w:r>
        <w:rPr>
          <w:sz w:val="18"/>
        </w:rPr>
      </w:r>
      <w:r>
        <w:rPr>
          <w:b/>
          <w:sz w:val="20"/>
        </w:rPr>
        <w:t xml:space="preserve">UZASADNIENIE</w:t>
      </w:r>
      <w:r/>
      <w:r/>
    </w:p>
    <w:p>
      <w:pPr>
        <w:ind w:left="0" w:right="0" w:firstLine="0"/>
        <w:jc w:val="both"/>
        <w:spacing w:lineRule="atLeast" w:line="235" w:after="0" w:before="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8"/>
        </w:rPr>
      </w: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567"/>
        <w:jc w:val="both"/>
        <w:spacing w:lineRule="atLeast" w:line="23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8"/>
        </w:rPr>
      </w:r>
      <w:r>
        <w:rPr>
          <w:rFonts w:ascii="Times New Roman" w:hAnsi="Times New Roman" w:cs="Times New Roman" w:eastAsia="Times New Roman"/>
          <w:color w:val="000000"/>
          <w:sz w:val="20"/>
        </w:rPr>
        <w:t xml:space="preserve">W dniu </w:t>
      </w:r>
      <w:r>
        <w:rPr>
          <w:rFonts w:ascii="Times New Roman" w:hAnsi="Times New Roman" w:cs="Times New Roman" w:eastAsia="Times New Roman"/>
          <w:color w:val="000000"/>
          <w:sz w:val="20"/>
        </w:rPr>
        <w:t xml:space="preserve">16 lutego 2024</w:t>
      </w:r>
      <w:r>
        <w:rPr>
          <w:rFonts w:ascii="Times New Roman" w:hAnsi="Times New Roman" w:cs="Times New Roman" w:eastAsia="Times New Roman"/>
          <w:color w:val="000000"/>
          <w:sz w:val="20"/>
        </w:rPr>
        <w:t xml:space="preserve"> r. Strona </w:t>
      </w:r>
      <w:r>
        <w:rPr>
          <w:rFonts w:ascii="Times New Roman" w:hAnsi="Times New Roman" w:cs="Times New Roman" w:eastAsia="Times New Roman"/>
          <w:color w:val="000000"/>
          <w:sz w:val="20"/>
        </w:rPr>
        <w:t xml:space="preserve">wystąpiła do Wojewody Dolnośląskiego z wnioskiem o udzielenie zezwolenia na pobyt czasowy ze względu na pobyt z obywatelem Rzeczypospolitej Polskiej.</w:t>
      </w:r>
      <w:r/>
      <w:r/>
    </w:p>
    <w:p>
      <w:pPr>
        <w:ind w:left="0" w:right="0" w:firstLine="0"/>
        <w:jc w:val="both"/>
        <w:spacing w:lineRule="atLeast" w:line="23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</w:rPr>
        <w:t xml:space="preserve"> </w:t>
      </w:r>
      <w:r/>
      <w:r/>
    </w:p>
    <w:p>
      <w:pPr>
        <w:ind w:left="0" w:right="0" w:firstLine="0"/>
        <w:jc w:val="both"/>
        <w:spacing w:lineRule="atLeast" w:line="23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</w:rPr>
        <w:t xml:space="preserve">W toku postępowania strona potwierdziła, że spełnia, określone przepisami prawa, warunki do udzielenia zezwolenia na podstawie art. 158 ust. 1 pkt 1 ustawy z dnia 12 grudnia 2013 r. o cudzoziemcach.</w:t>
      </w:r>
      <w:r/>
      <w:r/>
    </w:p>
    <w:p>
      <w:pPr>
        <w:ind w:left="0" w:right="0" w:firstLine="0"/>
        <w:jc w:val="both"/>
        <w:spacing w:lineRule="atLeast" w:line="23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</w:rPr>
        <w:t xml:space="preserve"> </w:t>
      </w:r>
      <w:r/>
      <w:r/>
    </w:p>
    <w:p>
      <w:pPr>
        <w:ind w:left="0" w:right="0" w:firstLine="0"/>
        <w:jc w:val="both"/>
        <w:spacing w:lineRule="atLeast" w:line="23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</w:rPr>
        <w:t xml:space="preserve">Na podstawie art. 98 ust. 2 ustawy o cudzoziemcach zezwolenia na pobyt czasowy udziela się na okres niezbędny do realizacji celu pobytu cudzoziemca na terytorium Rzeczypospolitej Polskiej, nie dłuższy jednak niż 3 lata.</w:t>
      </w:r>
      <w:r/>
      <w:r/>
    </w:p>
    <w:p>
      <w:pPr>
        <w:ind w:left="0" w:right="0" w:firstLine="0"/>
        <w:jc w:val="both"/>
        <w:spacing w:lineRule="atLeast" w:line="23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</w:rPr>
        <w:t xml:space="preserve"> </w:t>
      </w:r>
      <w:r/>
      <w:r/>
    </w:p>
    <w:p>
      <w:pPr>
        <w:ind w:left="0" w:right="0" w:firstLine="0"/>
        <w:jc w:val="both"/>
        <w:spacing w:after="240" w:before="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0"/>
        </w:rPr>
        <w:t xml:space="preserve">Zgodnie z </w:t>
      </w:r>
      <w:r>
        <w:rPr>
          <w:sz w:val="20"/>
        </w:rPr>
        <w:t xml:space="preserve">art. 158 ust. 1 pkt 1  zezwolenia na pobyt czasowy dla członka rodziny obywatela Rzeczypospolitej Polskiej udziela się cudzoziemcowi, gdy </w:t>
      </w:r>
      <w:r>
        <w:rPr>
          <w:sz w:val="20"/>
        </w:rPr>
        <w:t xml:space="preserve">pozostaje w uznawanym przez prawo Rzeczypospolitej Polskiej związku małżeńskim z obywatelem Rzeczypospolitej Polskiej.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both"/>
        <w:spacing w:lineRule="atLeast" w:line="23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</w:rPr>
        <w:t xml:space="preserve">Mając na względzie obowiązując przepisy prawa Wojewoda Dolnośląski udzielił zezwolenia na pobyt czasowy i orzekł jak w sentencji.</w:t>
      </w:r>
      <w:r/>
      <w:r/>
    </w:p>
    <w:p>
      <w:pPr>
        <w:ind w:left="0" w:right="0" w:firstLine="0"/>
        <w:jc w:val="center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b/>
          <w:color w:val="000000"/>
          <w:sz w:val="24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lang w:val="pl-PL"/>
        </w:rPr>
        <w:t xml:space="preserve"> </w:t>
      </w:r>
      <w:r>
        <w:rPr>
          <w:lang w:val="pl-PL"/>
        </w:rPr>
      </w:r>
      <w:r/>
    </w:p>
    <w:p>
      <w:pPr>
        <w:ind w:left="0" w:right="0" w:firstLine="0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pl-PL"/>
        </w:rPr>
      </w:r>
      <w:r>
        <w:rPr>
          <w:lang w:val="pl-PL"/>
        </w:rPr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sz w:val="20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sz w:val="20"/>
          <w:highlight w:val="white"/>
          <w:lang w:val="pl-PL"/>
        </w:rPr>
      </w:r>
      <w:r>
        <w:rPr>
          <w:rFonts w:ascii="Times New Roman" w:hAnsi="Times New Roman" w:cs="Times New Roman" w:eastAsia="Times New Roman"/>
          <w:b/>
          <w:color w:val="000000"/>
          <w:sz w:val="20"/>
          <w:lang w:val="pl-PL"/>
        </w:rPr>
        <w:t xml:space="preserve">P o u c z e n i e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Od niniejszej decyzji służy Panu/i odwołanie za moim pośrednictwem do Szefa Urzędu do Spraw Cudzoziemców w terminie 14 dni od dnia jej doręczenia (art.127 § 1 i 2, art. 129 § 1 i 2 ustawy z dnia 14 czerwca 1960 r. Kodeksu postępowania administracyjnego ora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z art. 22 ust. 1 pkt 1 ustawy z dnia 12 grudnia 2013 r. o cudzoziemcach).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Zgodnie z art. 127a Kodeksu postępowania administracyjnego w trakcie biegu terminu do wniesienia odwołania strona może zrzec się prawa do wniesienia odwołania wobec organu administracji publicznej, który wydał decyzję (§ 1), z dniem doręczenia organowi adm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inistracji publicznej oświadczenia o zrzeczeniu się prawa do wniesienia odwołania przez ostatnią ze stron postępowania, decyzja staje się ostateczna i prawomocna (§ 2). 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Decyzja podlega wykonaniu przed upływem terminu do wniesienia odwołania, jeżeli jest zgodna z żądaniem wszystkich stron lub jeżeli wszystkie strony zrzekły się prawa do wniesienia odwołania zgodnie z przepisem art. 127a  §  1 (art. 130 § 4 Kodeksu postępow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ania administracyjnego).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Stosownie do treści art. 105 ust. 1 ustawy z dnia 12 grudnia 2013 r. o cudzoziemcach cudzoziemiec składa wniosek o udzielenie mu zezwolenia na pobyt czasowy osobiście nie później niż w ostatnim dniu legalnego pobytu na terytorium Rzeczypospolitej Polskiej.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 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Cudzoziemcowi, który uzyskał zezwolenie na pobyt czasowy wydaje się kartę pobytu, co wynika z treści art. 240 pkt 1 ustawy z dnia 12 grudnia 2013 r. o cudzoziemcach. Karta pobytu w okresie swojej ważności potwierdza tożsamość cudzoziemca podczas jego pobyt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u na terytorium Rzeczypospolitej Polskiej oraz uprawnia go, wraz z dokumentem podróży, do wielokrotnego przekraczania granicy bez konieczności uzyskania wizy, o czym stanowi art. 242 ustawy z dnia 12 grudnia 2013 r. o cudzoziemcach. 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Zgodnie z art. 101 ustawy z dnia 12 grudnia 2013 r. o cudzoziemcach zezwolenie na pobyt czasowy cofa się cudzoziemcowi, gdy: 1) ustał cel pobytu, który był powodem udzielenia zezwolenia na pobyt czasowy, lub 2) przestał on spełniać wymogi udzielenia mu zez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wolenia na pobyt czasowy ze względu na deklarowany cel pobytu, lub 3) wystąpiła przynajmniej jedna z okoliczności, o których mowa w art. 100 ust. 1 pkt 2 lub 4-8. Z kolei art. 113 ustawy z dnia 12 grudnia 2013 r. o cudzoziemcach stanowi, że cudzoziemiec, k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tóremu udzielono zezwolenia na pobyt czasowy, zawiadamia wojewodę, który udzielił tego zezwolenia, w terminie 15 dni roboczych, o ustaniu przyczyny udzielenia zezwolenia. Ponadto, stosownie do treści art. 100 ust. 2 ustawy z dnia 12 grudnia 2013 r. o cudzo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ziemcach cudzoziemcowi można odmówić kolejnego zezwolenia na pobyt czasowy w przypadku niewykonania obowiązku, o którym mowa w art. 113, jeżeli wniosek o udzielenie kolejnego zezwolenia na pobyt czasowy złożył przed upływem roku od upływu okresu ważności p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oprzedniego zezwolenia. 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Zezwolenie na pobyt czasowy wygasa z mocy prawa z dniem uzyskania przez cudzoziemca kolejnego zezwolenia na pobyt czasowy, zezwolenia na pobyt stały, zezwolenia na pobyt rezydenta długoterminowego UE lub obywatelstwa polskiego. </w:t>
      </w:r>
      <w:r>
        <w:rPr>
          <w:lang w:val="pl-PL"/>
        </w:rPr>
      </w:r>
      <w:r/>
    </w:p>
    <w:p>
      <w:pPr>
        <w:numPr>
          <w:ilvl w:val="0"/>
          <w:numId w:val="11"/>
        </w:numPr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sz w:val="16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Art. 307 ust. 1 ustawy z dnia 12 grudnia 2013 r. o cudzoziemcach stanowi, że w dniu, w którym decyzja o zobowiązaniu cudzoziemca do powrotu stanie się ostateczna, z mocy prawa następuje unieważnienie wizy krajowej, wygaśnięcie zezwolenia na pobyt czasowy o</w:t>
      </w:r>
      <w:r>
        <w:rPr>
          <w:rFonts w:ascii="Times New Roman" w:hAnsi="Times New Roman" w:cs="Times New Roman" w:eastAsia="Times New Roman"/>
          <w:color w:val="000000"/>
          <w:sz w:val="16"/>
          <w:lang w:val="pl-PL"/>
        </w:rPr>
        <w:t xml:space="preserve">raz zezwolenia na pracę.</w:t>
      </w:r>
      <w:r>
        <w:rPr>
          <w:lang w:val="pl-PL"/>
        </w:rPr>
      </w:r>
      <w:r/>
    </w:p>
    <w:p>
      <w:pPr>
        <w:ind w:left="0" w:firstLine="0"/>
        <w:jc w:val="both"/>
        <w:spacing w:after="0" w:before="0"/>
        <w:tabs>
          <w:tab w:val="left" w:pos="360" w:leader="none"/>
        </w:tabs>
        <w:rPr>
          <w:rFonts w:ascii="Times New Roman" w:hAnsi="Times New Roman" w:cs="Times New Roman" w:eastAsia="Times New Roman"/>
          <w:color w:val="000000"/>
          <w:sz w:val="20"/>
          <w:highlight w:val="white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0"/>
          <w:highlight w:val="white"/>
          <w:lang w:val="pl-PL"/>
        </w:rPr>
      </w:r>
      <w:r>
        <w:rPr>
          <w:lang w:val="pl-PL"/>
        </w:rPr>
      </w:r>
      <w:r/>
    </w:p>
    <w:p>
      <w:pPr>
        <w:ind w:left="0" w:right="0" w:firstLine="0"/>
        <w:jc w:val="both"/>
        <w:spacing w:after="0" w:before="0"/>
        <w:rPr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pl-PL"/>
        </w:rPr>
      </w:r>
      <w:r>
        <w:rPr>
          <w:lang w:val="pl-PL"/>
        </w:rPr>
      </w:r>
      <w:r/>
    </w:p>
    <w:tbl>
      <w:tblPr>
        <w:tblStyle w:val="440"/>
        <w:tblW w:w="0" w:type="auto"/>
        <w:tblInd w:w="510" w:type="dxa"/>
        <w:tblLayout w:type="fixed"/>
        <w:tblLook w:val="04A0" w:firstRow="1" w:lastRow="0" w:firstColumn="1" w:lastColumn="0" w:noHBand="0" w:noVBand="1"/>
      </w:tblPr>
      <w:tblGrid>
        <w:gridCol w:w="4110"/>
        <w:gridCol w:w="462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0" w:type="dxa"/>
            <w:textDirection w:val="lrTb"/>
            <w:noWrap w:val="false"/>
          </w:tcPr>
          <w:p>
            <w:pPr>
              <w:ind w:left="0" w:right="0" w:firstLine="0"/>
              <w:jc w:val="both"/>
              <w:spacing w:after="0" w:before="0"/>
              <w:rPr>
                <w:lang w:val="pl-P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8"/>
                <w:lang w:val="pl-PL"/>
              </w:rPr>
              <w:t xml:space="preserve">Pobrano opłatę skarbową  </w:t>
            </w:r>
            <w:r>
              <w:rPr>
                <w:lang w:val="pl-PL"/>
              </w:rPr>
            </w:r>
            <w:r/>
          </w:p>
          <w:p>
            <w:pPr>
              <w:ind w:left="0" w:right="0" w:firstLine="0"/>
              <w:jc w:val="both"/>
              <w:spacing w:after="0" w:before="0"/>
              <w:rPr>
                <w:lang w:val="pl-P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8"/>
                <w:lang w:val="pl-PL"/>
              </w:rPr>
              <w:t xml:space="preserve">w wysokości 340 zł</w:t>
            </w:r>
            <w:r>
              <w:rPr>
                <w:lang w:val="pl-PL"/>
              </w:rPr>
            </w:r>
            <w:r/>
          </w:p>
          <w:p>
            <w:pPr>
              <w:ind w:left="0" w:right="0" w:firstLine="0"/>
              <w:jc w:val="both"/>
              <w:spacing w:after="0" w:before="0"/>
              <w:rPr>
                <w:rFonts w:ascii="Times New Roman" w:hAnsi="Times New Roman" w:cs="Times New Roman" w:eastAsia="Times New Roman"/>
                <w:color w:val="000000"/>
                <w:lang w:val="pl-P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8"/>
                <w:lang w:val="pl-PL"/>
              </w:rPr>
              <w:t xml:space="preserve">Data wpłaty: 15.12.2023 r.</w:t>
            </w:r>
            <w:r>
              <w:rPr>
                <w:lang w:val="pl-PL"/>
              </w:rPr>
            </w:r>
            <w:r/>
          </w:p>
          <w:p>
            <w:pPr>
              <w:ind w:left="0" w:right="0" w:firstLine="0"/>
              <w:jc w:val="both"/>
              <w:spacing w:after="0" w:before="0"/>
              <w:rPr>
                <w:lang w:val="pl-P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8"/>
                <w:lang w:val="pl-PL"/>
              </w:rPr>
            </w:r>
            <w:r>
              <w:rPr>
                <w:lang w:val="pl-PL"/>
              </w:rPr>
            </w:r>
            <w:r/>
          </w:p>
          <w:p>
            <w:pPr>
              <w:ind w:left="0" w:right="0" w:firstLine="0"/>
              <w:jc w:val="both"/>
              <w:spacing w:after="0" w:before="0"/>
              <w:rPr>
                <w:lang w:val="pl-P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18"/>
                <w:lang w:val="pl-PL"/>
              </w:rPr>
              <w:t xml:space="preserve">Sprawę prowadzi:</w:t>
            </w:r>
            <w:r>
              <w:rPr>
                <w:lang w:val="pl-PL"/>
              </w:rPr>
            </w:r>
            <w:r/>
          </w:p>
          <w:p>
            <w:pPr>
              <w:ind w:left="0" w:right="0" w:firstLine="0"/>
              <w:jc w:val="both"/>
              <w:spacing w:after="0" w:before="0"/>
              <w:rPr>
                <w:rFonts w:ascii="Times New Roman" w:hAnsi="Times New Roman" w:cs="Times New Roman" w:eastAsia="Times New Roman"/>
                <w:color w:val="000000"/>
                <w:lang w:val="pl-P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18"/>
                <w:lang w:val="pl-PL"/>
              </w:rPr>
            </w:r>
            <w:r>
              <w:rPr>
                <w:rFonts w:ascii="Times New Roman" w:hAnsi="Times New Roman" w:cs="Times New Roman" w:eastAsia="Times New Roman"/>
                <w:i/>
                <w:color w:val="000000"/>
                <w:sz w:val="18"/>
                <w:lang w:val="pl-PL"/>
              </w:rPr>
              <w:t xml:space="preserve">inspektor wojewódzki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z w:val="18"/>
                <w:lang w:val="pl-PL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z w:val="18"/>
                <w:lang w:val="pl-PL"/>
              </w:rPr>
              <w:t xml:space="preserve">Aneta Zygała</w:t>
            </w:r>
            <w:r>
              <w:rPr>
                <w:lang w:val="pl-PL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620" w:type="dxa"/>
            <w:textDirection w:val="lrTb"/>
            <w:noWrap w:val="false"/>
          </w:tcPr>
          <w:p>
            <w:pPr>
              <w:rPr>
                <w:lang w:val="pl-PL"/>
              </w:rPr>
            </w:pPr>
            <w:r>
              <w:rPr>
                <w:lang w:val="pl-P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57616" cy="957616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57614" cy="9576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5.4pt;height:75.4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lang w:val="pl-PL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Arial" w:hAnsi="Arial" w:cs="Arial" w:eastAsia="Arial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  <w:lang w:val="pl-PL"/>
        </w:rPr>
      </w:r>
      <w:r>
        <w:rPr>
          <w:lang w:val="pl-PL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8"/>
          <w:u w:val="single"/>
          <w:lang w:val="pl-PL"/>
        </w:rPr>
        <w:t xml:space="preserve">Otrzymuje:</w:t>
      </w:r>
      <w:r>
        <w:rPr>
          <w:lang w:val="pl-PL"/>
        </w:rPr>
      </w:r>
      <w:r/>
    </w:p>
    <w:p>
      <w:pPr>
        <w:numPr>
          <w:ilvl w:val="0"/>
          <w:numId w:val="1"/>
        </w:numPr>
        <w:spacing w:after="0" w:before="0"/>
        <w:tabs>
          <w:tab w:val="left" w:pos="720" w:leader="none"/>
        </w:tabs>
        <w:rPr>
          <w:rFonts w:ascii="Times New Roman" w:hAnsi="Times New Roman" w:cs="Times New Roman" w:eastAsia="Times New Roman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8"/>
          <w:lang w:val="pl-PL"/>
        </w:rPr>
      </w:r>
      <w:r>
        <w:rPr>
          <w:rFonts w:ascii="Times New Roman" w:hAnsi="Times New Roman" w:cs="Times New Roman" w:eastAsia="Times New Roman"/>
          <w:color w:val="000000"/>
          <w:sz w:val="18"/>
          <w:lang w:val="pl-PL"/>
        </w:rPr>
        <w:t xml:space="preserve">Strona</w:t>
      </w:r>
      <w:r>
        <w:rPr>
          <w:lang w:val="pl-PL"/>
        </w:rPr>
      </w:r>
      <w:r/>
    </w:p>
    <w:p>
      <w:pPr>
        <w:numPr>
          <w:ilvl w:val="0"/>
          <w:numId w:val="1"/>
        </w:numPr>
        <w:jc w:val="both"/>
        <w:spacing w:after="0" w:before="0"/>
        <w:tabs>
          <w:tab w:val="left" w:pos="720" w:leader="none"/>
        </w:tabs>
        <w:rPr>
          <w:rFonts w:ascii="Times New Roman" w:hAnsi="Times New Roman" w:cs="Times New Roman" w:eastAsia="Times New Roman"/>
          <w:lang w:val="pl-P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18"/>
          <w:lang w:val="pl-PL"/>
        </w:rPr>
        <w:t xml:space="preserve">A/a</w:t>
      </w:r>
      <w:r>
        <w:rPr>
          <w:lang w:val="pl-PL"/>
        </w:rPr>
      </w:r>
      <w:r/>
    </w:p>
    <w:sectPr>
      <w:footnotePr/>
      <w:type w:val="nextPage"/>
      <w:pgSz w:w="11905" w:h="16837" w:orient="portrait"/>
      <w:pgMar w:top="590" w:right="1440" w:bottom="799" w:left="144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9"/>
      </w:pPr>
      <w:rPr>
        <w:rFonts w:ascii="Times New Roman" w:hAnsi="Times New Roman" w:cs="Times New Roman" w:eastAsia="Times New Roman"/>
        <w:sz w:val="16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9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9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9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9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9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9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9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08">
    <w:name w:val="Heading 1"/>
    <w:basedOn w:val="579"/>
    <w:next w:val="579"/>
    <w:link w:val="40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09">
    <w:name w:val="Heading 1 Char"/>
    <w:link w:val="408"/>
    <w:uiPriority w:val="9"/>
    <w:rPr>
      <w:rFonts w:ascii="Arial" w:hAnsi="Arial" w:cs="Arial" w:eastAsia="Arial"/>
      <w:sz w:val="40"/>
      <w:szCs w:val="40"/>
    </w:rPr>
  </w:style>
  <w:style w:type="paragraph" w:styleId="410">
    <w:name w:val="Heading 2"/>
    <w:basedOn w:val="579"/>
    <w:next w:val="579"/>
    <w:link w:val="41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11">
    <w:name w:val="Heading 2 Char"/>
    <w:link w:val="410"/>
    <w:uiPriority w:val="9"/>
    <w:rPr>
      <w:rFonts w:ascii="Arial" w:hAnsi="Arial" w:cs="Arial" w:eastAsia="Arial"/>
      <w:sz w:val="34"/>
    </w:rPr>
  </w:style>
  <w:style w:type="paragraph" w:styleId="412">
    <w:name w:val="Heading 3"/>
    <w:basedOn w:val="579"/>
    <w:next w:val="579"/>
    <w:link w:val="41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13">
    <w:name w:val="Heading 3 Char"/>
    <w:link w:val="412"/>
    <w:uiPriority w:val="9"/>
    <w:rPr>
      <w:rFonts w:ascii="Arial" w:hAnsi="Arial" w:cs="Arial" w:eastAsia="Arial"/>
      <w:sz w:val="30"/>
      <w:szCs w:val="30"/>
    </w:rPr>
  </w:style>
  <w:style w:type="paragraph" w:styleId="414">
    <w:name w:val="Heading 4"/>
    <w:basedOn w:val="579"/>
    <w:next w:val="579"/>
    <w:link w:val="41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15">
    <w:name w:val="Heading 4 Char"/>
    <w:link w:val="414"/>
    <w:uiPriority w:val="9"/>
    <w:rPr>
      <w:rFonts w:ascii="Arial" w:hAnsi="Arial" w:cs="Arial" w:eastAsia="Arial"/>
      <w:b/>
      <w:bCs/>
      <w:sz w:val="26"/>
      <w:szCs w:val="26"/>
    </w:rPr>
  </w:style>
  <w:style w:type="paragraph" w:styleId="416">
    <w:name w:val="Heading 5"/>
    <w:basedOn w:val="579"/>
    <w:next w:val="579"/>
    <w:link w:val="41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17">
    <w:name w:val="Heading 5 Char"/>
    <w:link w:val="416"/>
    <w:uiPriority w:val="9"/>
    <w:rPr>
      <w:rFonts w:ascii="Arial" w:hAnsi="Arial" w:cs="Arial" w:eastAsia="Arial"/>
      <w:b/>
      <w:bCs/>
      <w:sz w:val="24"/>
      <w:szCs w:val="24"/>
    </w:rPr>
  </w:style>
  <w:style w:type="paragraph" w:styleId="418">
    <w:name w:val="Heading 6"/>
    <w:basedOn w:val="579"/>
    <w:next w:val="579"/>
    <w:link w:val="41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19">
    <w:name w:val="Heading 6 Char"/>
    <w:link w:val="418"/>
    <w:uiPriority w:val="9"/>
    <w:rPr>
      <w:rFonts w:ascii="Arial" w:hAnsi="Arial" w:cs="Arial" w:eastAsia="Arial"/>
      <w:b/>
      <w:bCs/>
      <w:sz w:val="22"/>
      <w:szCs w:val="22"/>
    </w:rPr>
  </w:style>
  <w:style w:type="paragraph" w:styleId="420">
    <w:name w:val="Heading 7"/>
    <w:basedOn w:val="579"/>
    <w:next w:val="579"/>
    <w:link w:val="42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21">
    <w:name w:val="Heading 7 Char"/>
    <w:link w:val="4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22">
    <w:name w:val="Heading 8"/>
    <w:basedOn w:val="579"/>
    <w:next w:val="579"/>
    <w:link w:val="42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23">
    <w:name w:val="Heading 8 Char"/>
    <w:link w:val="422"/>
    <w:uiPriority w:val="9"/>
    <w:rPr>
      <w:rFonts w:ascii="Arial" w:hAnsi="Arial" w:cs="Arial" w:eastAsia="Arial"/>
      <w:i/>
      <w:iCs/>
      <w:sz w:val="22"/>
      <w:szCs w:val="22"/>
    </w:rPr>
  </w:style>
  <w:style w:type="paragraph" w:styleId="424">
    <w:name w:val="Heading 9"/>
    <w:basedOn w:val="579"/>
    <w:next w:val="579"/>
    <w:link w:val="42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25">
    <w:name w:val="Heading 9 Char"/>
    <w:link w:val="424"/>
    <w:uiPriority w:val="9"/>
    <w:rPr>
      <w:rFonts w:ascii="Arial" w:hAnsi="Arial" w:cs="Arial" w:eastAsia="Arial"/>
      <w:i/>
      <w:iCs/>
      <w:sz w:val="21"/>
      <w:szCs w:val="21"/>
    </w:rPr>
  </w:style>
  <w:style w:type="paragraph" w:styleId="426">
    <w:name w:val="List Paragraph"/>
    <w:basedOn w:val="579"/>
    <w:qFormat/>
    <w:uiPriority w:val="34"/>
    <w:pPr>
      <w:contextualSpacing w:val="true"/>
      <w:ind w:left="720"/>
    </w:pPr>
  </w:style>
  <w:style w:type="paragraph" w:styleId="427">
    <w:name w:val="No Spacing"/>
    <w:qFormat/>
    <w:uiPriority w:val="1"/>
    <w:pPr>
      <w:spacing w:lineRule="auto" w:line="240" w:after="0" w:before="0"/>
    </w:pPr>
  </w:style>
  <w:style w:type="paragraph" w:styleId="428">
    <w:name w:val="Title"/>
    <w:basedOn w:val="579"/>
    <w:next w:val="579"/>
    <w:link w:val="42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29">
    <w:name w:val="Title Char"/>
    <w:link w:val="428"/>
    <w:uiPriority w:val="10"/>
    <w:rPr>
      <w:sz w:val="48"/>
      <w:szCs w:val="48"/>
    </w:rPr>
  </w:style>
  <w:style w:type="paragraph" w:styleId="430">
    <w:name w:val="Subtitle"/>
    <w:basedOn w:val="579"/>
    <w:next w:val="579"/>
    <w:link w:val="431"/>
    <w:qFormat/>
    <w:uiPriority w:val="11"/>
    <w:rPr>
      <w:sz w:val="24"/>
      <w:szCs w:val="24"/>
    </w:rPr>
    <w:pPr>
      <w:spacing w:after="200" w:before="200"/>
    </w:pPr>
  </w:style>
  <w:style w:type="character" w:styleId="431">
    <w:name w:val="Subtitle Char"/>
    <w:link w:val="430"/>
    <w:uiPriority w:val="11"/>
    <w:rPr>
      <w:sz w:val="24"/>
      <w:szCs w:val="24"/>
    </w:rPr>
  </w:style>
  <w:style w:type="paragraph" w:styleId="432">
    <w:name w:val="Quote"/>
    <w:basedOn w:val="579"/>
    <w:next w:val="579"/>
    <w:link w:val="433"/>
    <w:qFormat/>
    <w:uiPriority w:val="29"/>
    <w:rPr>
      <w:i/>
    </w:rPr>
    <w:pPr>
      <w:ind w:left="720" w:right="720"/>
    </w:pPr>
  </w:style>
  <w:style w:type="character" w:styleId="433">
    <w:name w:val="Quote Char"/>
    <w:link w:val="432"/>
    <w:uiPriority w:val="29"/>
    <w:rPr>
      <w:i/>
    </w:rPr>
  </w:style>
  <w:style w:type="paragraph" w:styleId="434">
    <w:name w:val="Intense Quote"/>
    <w:basedOn w:val="579"/>
    <w:next w:val="579"/>
    <w:link w:val="43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35">
    <w:name w:val="Intense Quote Char"/>
    <w:link w:val="434"/>
    <w:uiPriority w:val="30"/>
    <w:rPr>
      <w:i/>
    </w:rPr>
  </w:style>
  <w:style w:type="paragraph" w:styleId="436">
    <w:name w:val="Header"/>
    <w:basedOn w:val="579"/>
    <w:link w:val="43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7">
    <w:name w:val="Header Char"/>
    <w:link w:val="436"/>
    <w:uiPriority w:val="99"/>
  </w:style>
  <w:style w:type="paragraph" w:styleId="438">
    <w:name w:val="Footer"/>
    <w:basedOn w:val="579"/>
    <w:link w:val="43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9">
    <w:name w:val="Footer Char"/>
    <w:link w:val="438"/>
    <w:uiPriority w:val="99"/>
  </w:style>
  <w:style w:type="table" w:styleId="44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41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42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3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4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45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7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9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0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1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2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3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4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9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70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71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72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73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74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75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76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77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78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9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80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81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82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83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84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85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86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87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8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9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04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05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06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07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08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9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10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5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6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7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8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9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0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1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32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33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34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35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36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37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38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9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40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41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42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43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44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45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6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7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8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9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0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1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2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53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54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55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6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7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8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9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60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61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62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63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64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65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66">
    <w:name w:val="Hyperlink"/>
    <w:uiPriority w:val="99"/>
    <w:unhideWhenUsed/>
    <w:rPr>
      <w:color w:val="0000FF" w:themeColor="hyperlink"/>
      <w:u w:val="single"/>
    </w:rPr>
  </w:style>
  <w:style w:type="paragraph" w:styleId="567">
    <w:name w:val="footnote text"/>
    <w:basedOn w:val="579"/>
    <w:link w:val="568"/>
    <w:uiPriority w:val="99"/>
    <w:semiHidden/>
    <w:unhideWhenUsed/>
    <w:rPr>
      <w:sz w:val="18"/>
    </w:rPr>
    <w:pPr>
      <w:spacing w:lineRule="auto" w:line="240" w:after="40"/>
    </w:pPr>
  </w:style>
  <w:style w:type="character" w:styleId="568">
    <w:name w:val="Footnote Text Char"/>
    <w:link w:val="567"/>
    <w:uiPriority w:val="99"/>
    <w:rPr>
      <w:sz w:val="18"/>
    </w:rPr>
  </w:style>
  <w:style w:type="paragraph" w:styleId="569">
    <w:name w:val="toc 1"/>
    <w:basedOn w:val="579"/>
    <w:next w:val="579"/>
    <w:uiPriority w:val="39"/>
    <w:unhideWhenUsed/>
    <w:pPr>
      <w:ind w:left="0" w:right="0" w:firstLine="0"/>
      <w:spacing w:after="57"/>
    </w:pPr>
  </w:style>
  <w:style w:type="paragraph" w:styleId="570">
    <w:name w:val="toc 2"/>
    <w:basedOn w:val="579"/>
    <w:next w:val="579"/>
    <w:uiPriority w:val="39"/>
    <w:unhideWhenUsed/>
    <w:pPr>
      <w:ind w:left="283" w:right="0" w:firstLine="0"/>
      <w:spacing w:after="57"/>
    </w:pPr>
  </w:style>
  <w:style w:type="paragraph" w:styleId="571">
    <w:name w:val="toc 3"/>
    <w:basedOn w:val="579"/>
    <w:next w:val="579"/>
    <w:uiPriority w:val="39"/>
    <w:unhideWhenUsed/>
    <w:pPr>
      <w:ind w:left="567" w:right="0" w:firstLine="0"/>
      <w:spacing w:after="57"/>
    </w:pPr>
  </w:style>
  <w:style w:type="paragraph" w:styleId="572">
    <w:name w:val="toc 4"/>
    <w:basedOn w:val="579"/>
    <w:next w:val="579"/>
    <w:uiPriority w:val="39"/>
    <w:unhideWhenUsed/>
    <w:pPr>
      <w:ind w:left="850" w:right="0" w:firstLine="0"/>
      <w:spacing w:after="57"/>
    </w:pPr>
  </w:style>
  <w:style w:type="paragraph" w:styleId="573">
    <w:name w:val="toc 5"/>
    <w:basedOn w:val="579"/>
    <w:next w:val="579"/>
    <w:uiPriority w:val="39"/>
    <w:unhideWhenUsed/>
    <w:pPr>
      <w:ind w:left="1134" w:right="0" w:firstLine="0"/>
      <w:spacing w:after="57"/>
    </w:pPr>
  </w:style>
  <w:style w:type="paragraph" w:styleId="574">
    <w:name w:val="toc 6"/>
    <w:basedOn w:val="579"/>
    <w:next w:val="579"/>
    <w:uiPriority w:val="39"/>
    <w:unhideWhenUsed/>
    <w:pPr>
      <w:ind w:left="1417" w:right="0" w:firstLine="0"/>
      <w:spacing w:after="57"/>
    </w:pPr>
  </w:style>
  <w:style w:type="paragraph" w:styleId="575">
    <w:name w:val="toc 7"/>
    <w:basedOn w:val="579"/>
    <w:next w:val="579"/>
    <w:uiPriority w:val="39"/>
    <w:unhideWhenUsed/>
    <w:pPr>
      <w:ind w:left="1701" w:right="0" w:firstLine="0"/>
      <w:spacing w:after="57"/>
    </w:pPr>
  </w:style>
  <w:style w:type="paragraph" w:styleId="576">
    <w:name w:val="toc 8"/>
    <w:basedOn w:val="579"/>
    <w:next w:val="579"/>
    <w:uiPriority w:val="39"/>
    <w:unhideWhenUsed/>
    <w:pPr>
      <w:ind w:left="1984" w:right="0" w:firstLine="0"/>
      <w:spacing w:after="57"/>
    </w:pPr>
  </w:style>
  <w:style w:type="paragraph" w:styleId="577">
    <w:name w:val="toc 9"/>
    <w:basedOn w:val="579"/>
    <w:next w:val="579"/>
    <w:uiPriority w:val="39"/>
    <w:unhideWhenUsed/>
    <w:pPr>
      <w:ind w:left="2268" w:right="0" w:firstLine="0"/>
      <w:spacing w:after="57"/>
    </w:pPr>
  </w:style>
  <w:style w:type="paragraph" w:styleId="578">
    <w:name w:val="TOC Heading"/>
    <w:uiPriority w:val="39"/>
    <w:unhideWhenUsed/>
  </w:style>
  <w:style w:type="paragraph" w:styleId="579" w:default="1">
    <w:name w:val="Normal"/>
  </w:style>
  <w:style w:type="character" w:styleId="580">
    <w:name w:val="footnote reference"/>
    <w:semiHidden/>
    <w:unhideWhenUsed/>
    <w:rPr>
      <w:vertAlign w:val="superscript"/>
    </w:rPr>
  </w:style>
  <w:style w:type="character" w:styleId="581" w:default="1">
    <w:name w:val="Default Paragraph Font"/>
    <w:uiPriority w:val="1"/>
    <w:semiHidden/>
    <w:unhideWhenUsed/>
  </w:style>
  <w:style w:type="numbering" w:styleId="582" w:default="1">
    <w:name w:val="No List"/>
    <w:uiPriority w:val="99"/>
    <w:semiHidden/>
    <w:unhideWhenUsed/>
  </w:style>
  <w:style w:type="table" w:styleId="58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a.zygala</cp:lastModifiedBy>
  <cp:revision>20</cp:revision>
  <dcterms:created xsi:type="dcterms:W3CDTF">2020-03-02T18:29:39Z</dcterms:created>
  <dcterms:modified xsi:type="dcterms:W3CDTF">2024-05-21T10:46:52Z</dcterms:modified>
  <cp:category/>
</cp:coreProperties>
</file>