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867386" w:rsidRPr="00D3412F" w14:paraId="0FAFFB60" w14:textId="77777777" w:rsidTr="007C736D">
        <w:trPr>
          <w:trHeight w:val="3345"/>
        </w:trPr>
        <w:tc>
          <w:tcPr>
            <w:tcW w:w="2608" w:type="dxa"/>
          </w:tcPr>
          <w:p w14:paraId="5364B452" w14:textId="77777777" w:rsidR="003E7BF1" w:rsidRPr="00371CD8" w:rsidRDefault="003E7BF1" w:rsidP="003E7BF1">
            <w:pPr>
              <w:spacing w:before="60"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энергоблоком. Операторы произвели такие запрещенные действия, как блокирование некоторых сигналов аварийной защиты и отключение системы аварийного охлаждения активной зоны; работали при запасе реактивности на стержнях СУЗ ниже допускаемого регламентом значения; ввели реактор в режим работы с расходами и температурой воды по каналам выше регламентных, при мощности реактора ниже предусмотренной программой. </w:t>
            </w:r>
          </w:p>
          <w:p w14:paraId="5966818F" w14:textId="77777777" w:rsidR="003E7BF1" w:rsidRPr="00371CD8" w:rsidRDefault="003E7BF1" w:rsidP="003E7BF1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Выбросы Чернобыльской аварии загрязнили радиоактивными веществами (&gt; 37кБк/м</w:t>
            </w:r>
            <w:proofErr w:type="gramStart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2 )</w:t>
            </w:r>
            <w:proofErr w:type="gramEnd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 23% территории Республики Беларусь (47 тыс. км2 ); 0,5% – территории Российской Федерации (35,2 тыс. км2 ), 4,8% (28,5 тыс. км2 ) – территории Украины.</w:t>
            </w:r>
          </w:p>
          <w:p w14:paraId="4C8527A3" w14:textId="77777777" w:rsidR="003E7BF1" w:rsidRPr="00371CD8" w:rsidRDefault="003E7BF1" w:rsidP="003E7BF1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По состоянию на 01.01.2011 г. в Республике Беларусь в сельскохозяйственном пользовании находится 1006,3 тыс. га земель, загрязненных 137 </w:t>
            </w:r>
            <w:proofErr w:type="spellStart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Cs</w:t>
            </w:r>
            <w:proofErr w:type="spellEnd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 с плотностью 37 </w:t>
            </w:r>
            <w:proofErr w:type="spellStart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кБк</w:t>
            </w:r>
            <w:proofErr w:type="spellEnd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/м 2 и выше, что составляет 11% от общей площади землепользования. </w:t>
            </w:r>
          </w:p>
          <w:p w14:paraId="2B4E6624" w14:textId="77777777" w:rsidR="003E7BF1" w:rsidRPr="00371CD8" w:rsidRDefault="003E7BF1" w:rsidP="003E7BF1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Удельный вес загрязненных земель в составе сельскохозяйственных землепользований областей также существенно различается и распределяется следующим образом: Гомельская обл. – 42,1%, Могилевская – 19,8, Брестская – 4,5, Минская – 2,9, Гродненская – 2,3, Витебская – 0,02%. </w:t>
            </w:r>
          </w:p>
          <w:p w14:paraId="1649DB85" w14:textId="79B14951" w:rsidR="00867386" w:rsidRPr="00757F78" w:rsidRDefault="003E7BF1" w:rsidP="003E7BF1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Воды. Наибольшему радиоактивному загрязнению поверглись бассейны крупных рек Беларуси – Днепра, </w:t>
            </w:r>
            <w:proofErr w:type="spellStart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Сожа</w:t>
            </w:r>
            <w:proofErr w:type="spellEnd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, Припяти, в меньшей степени – Немана и Западной Двины.</w:t>
            </w:r>
          </w:p>
        </w:tc>
        <w:tc>
          <w:tcPr>
            <w:tcW w:w="2608" w:type="dxa"/>
          </w:tcPr>
          <w:p w14:paraId="4CA4A0EB" w14:textId="77777777" w:rsidR="00B9710A" w:rsidRPr="00371CD8" w:rsidRDefault="00B9710A" w:rsidP="00B9710A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Внесистемной единицей измерения поглощенной дозы является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рад.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Рад – единица поглощенной дозы ионизирующего излучения, при которой веществом массой 1г поглощается энергия излучения в 100 эрг.</w:t>
            </w:r>
          </w:p>
          <w:p w14:paraId="62BE3362" w14:textId="77777777" w:rsidR="00B9710A" w:rsidRPr="00371CD8" w:rsidRDefault="00B9710A" w:rsidP="00B9710A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Эквивалентная доза -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поглощенная доза в органе или ткани, умноженная на соответствующий коэффициент качества данного вида излучения. Единицей измерения эквивалентной дозы в системе СИ является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Зиверт (Зв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).</w:t>
            </w:r>
          </w:p>
          <w:p w14:paraId="47277B70" w14:textId="0AC20D1B" w:rsidR="00867386" w:rsidRPr="00D3412F" w:rsidRDefault="00B9710A" w:rsidP="00B9710A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b/>
                <w:sz w:val="10"/>
                <w:szCs w:val="10"/>
                <w:lang w:bidi="ru-RU"/>
              </w:rPr>
              <w:t>Эффективная доза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 является мерой риска возникновения отдаленных последствий облучения всего человека, или отдельных его органов с учетом их радиочувствительности. Она равна произведению эквивалентной дозы на соответствующий взвешивающий коэффициент WT для данного органа или ткани. Единицами измерения эффективной дозы являются </w:t>
            </w:r>
            <w:r w:rsidRPr="00371CD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Зиверт (Зв) и бэр.</w:t>
            </w:r>
          </w:p>
        </w:tc>
        <w:tc>
          <w:tcPr>
            <w:tcW w:w="2608" w:type="dxa"/>
          </w:tcPr>
          <w:p w14:paraId="643EE2C8" w14:textId="3C8896FC" w:rsidR="006113B9" w:rsidRPr="00757F78" w:rsidRDefault="00D84F07" w:rsidP="00D84F07">
            <w:pPr>
              <w:tabs>
                <w:tab w:val="left" w:pos="609"/>
              </w:tabs>
              <w:spacing w:before="60" w:after="0" w:line="192" w:lineRule="auto"/>
              <w:rPr>
                <w:rFonts w:ascii="Arial" w:hAnsi="Arial" w:cs="Arial"/>
                <w:sz w:val="10"/>
                <w:szCs w:val="10"/>
              </w:rPr>
            </w:pPr>
            <w:r w:rsidRPr="004920D5">
              <w:rPr>
                <w:rFonts w:ascii="Arial" w:hAnsi="Arial" w:cs="Arial"/>
                <w:sz w:val="10"/>
                <w:szCs w:val="10"/>
                <w:lang w:bidi="ru-RU"/>
              </w:rPr>
              <w:t>Ткани и органы, обладая различной радиочувствительностью,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4920D5">
              <w:rPr>
                <w:rFonts w:ascii="Arial" w:hAnsi="Arial" w:cs="Arial"/>
                <w:sz w:val="10"/>
                <w:szCs w:val="10"/>
                <w:lang w:bidi="ru-RU"/>
              </w:rPr>
              <w:t>имеют разные коэффициенты радиационного риска. Критические органы – это жизненно важные органы и системы, которые в данном диапазоне доз повреждаются первыми, что обусловливает гибель организма в определенные сроки после облучения. Внешнее облучение происходит под воздействием источника излучения, находящегося вне организма. При внешнем облучении, которое создается в основном гамма-излучением, рентгеновским излучением и нейтронным излучением поражающая способность определяется энергией и продолжительностью излучения, расстоянием от источника излучения. Возможно контактное облучение вследствие радиоактивного загрязнения кожных покровов, одежды. Внутреннее облучение наблюдается при попадании радиоактивных веществ во внутрь организма с вдыхаемым воздухом (2–5%), питьевой водой (5–8%), загрязненными продуктами питания (90%), при курении, пользовании косметикой, через кожу или другими путями. Попадая в организм человека, радионуклиды накапливаются в отдельных органах и тканях в зависимости от типа радиоактивного изотопа. Поглощенные радионуклиды распределяются в организме неравномерно. В костях преимущественно накапливаются кальций, стронций, барий, радий, плутоний, в печени и легких – плутоний, в мышцах – калий, рубидий, цезий, селезенке и лимфатических узлах (рутений, ниобий, полоний</w:t>
            </w:r>
            <w:r w:rsidR="00B9710A" w:rsidRPr="004920D5">
              <w:rPr>
                <w:rFonts w:ascii="Arial" w:hAnsi="Arial" w:cs="Arial"/>
                <w:sz w:val="10"/>
                <w:szCs w:val="10"/>
                <w:lang w:bidi="ru-RU"/>
              </w:rPr>
              <w:t>), щитовидной</w:t>
            </w:r>
            <w:r w:rsidRPr="004920D5">
              <w:rPr>
                <w:rFonts w:ascii="Arial" w:hAnsi="Arial" w:cs="Arial"/>
                <w:sz w:val="10"/>
                <w:szCs w:val="10"/>
                <w:lang w:bidi="ru-RU"/>
              </w:rPr>
              <w:t xml:space="preserve"> железе – йод.</w:t>
            </w:r>
          </w:p>
        </w:tc>
        <w:tc>
          <w:tcPr>
            <w:tcW w:w="2608" w:type="dxa"/>
          </w:tcPr>
          <w:p w14:paraId="58CDC969" w14:textId="63576632" w:rsidR="00867386" w:rsidRPr="00757F78" w:rsidRDefault="00867386" w:rsidP="00867386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14:paraId="3A58C96C" w14:textId="77777777" w:rsidR="00D84F07" w:rsidRPr="00D312D7" w:rsidRDefault="00D84F07" w:rsidP="00D84F07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собой коротковолновое фотонное излучение с длиной волны &lt;10-6 мкм, испускаемое при ядерных превращениях или аннигиляции частиц. По своей природе оно аналогично другим видам электромагнитных излучений – световому, ультрафиолетовому, рентгеновскому.</w:t>
            </w:r>
          </w:p>
          <w:p w14:paraId="7B34102B" w14:textId="77777777" w:rsidR="00D84F07" w:rsidRPr="00D312D7" w:rsidRDefault="00D84F07" w:rsidP="00D84F07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Рентгеновское излучение (Х-лучи) – это электромагнитное излучение с длиной волны 10-8·10</w:t>
            </w:r>
            <w:proofErr w:type="gramStart"/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^(</w:t>
            </w:r>
            <w:proofErr w:type="gramEnd"/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-1) мкм. Рентгеновское излучение образуется при работе электровакуумных приборов,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электронно-лучевых трубок, видеотерминалов, распаде некоторых нестабильных атомов. Высокая проникающая способность сделала возможным применение его в медицине. Естественные источники – космическое излучение, излучение от природных радионуклидов земного происхождения. </w:t>
            </w:r>
          </w:p>
          <w:p w14:paraId="175D3CF5" w14:textId="77777777" w:rsidR="00D84F07" w:rsidRPr="00D312D7" w:rsidRDefault="00D84F07" w:rsidP="00D84F07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Космическое галактическое и межгалактическое излучение – это поток протонов (92%), альфа-частиц (7%). Остальное (около 1%) – это в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основном, ядра легких элементов: лития, бериллия, азота, углерода, кислорода, фтора и др. </w:t>
            </w:r>
          </w:p>
          <w:p w14:paraId="6EF835E1" w14:textId="77777777" w:rsidR="00D84F07" w:rsidRPr="00D312D7" w:rsidRDefault="00D84F07" w:rsidP="00D84F07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По потенциальной радиационной опасности устанавливается четыре категории объектов: </w:t>
            </w:r>
          </w:p>
          <w:p w14:paraId="07EFE53C" w14:textId="4337DF64" w:rsidR="00867386" w:rsidRPr="00757F78" w:rsidRDefault="00D84F07" w:rsidP="00D84F07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к первой категории относятся радиационные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объекты, при аварии на ко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т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 возможно радиационное воздействие на население и введение мероприятий по его радиационной защите;</w:t>
            </w:r>
          </w:p>
        </w:tc>
        <w:tc>
          <w:tcPr>
            <w:tcW w:w="2608" w:type="dxa"/>
          </w:tcPr>
          <w:p w14:paraId="0DC73E39" w14:textId="77777777" w:rsidR="00FB5A91" w:rsidRPr="00A24C1D" w:rsidRDefault="00FB5A91" w:rsidP="00FB5A91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 xml:space="preserve">В системе СИ за единицу активности принят беккерель (Бк, </w:t>
            </w:r>
            <w:proofErr w:type="spellStart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Bq</w:t>
            </w:r>
            <w:proofErr w:type="spellEnd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 xml:space="preserve">). Один беккерель равен одному распаду в секунду. Внесистемная единица измерения активности – кюри (Ки, </w:t>
            </w:r>
            <w:proofErr w:type="spellStart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Cu</w:t>
            </w:r>
            <w:proofErr w:type="spellEnd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):</w:t>
            </w:r>
          </w:p>
          <w:p w14:paraId="2FAADC16" w14:textId="77777777" w:rsidR="00FB5A91" w:rsidRPr="00A24C1D" w:rsidRDefault="00FB5A91" w:rsidP="00FB5A91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1 Ки = 3,7·10</w:t>
            </w:r>
            <w:r w:rsidRPr="00D312D7">
              <w:rPr>
                <w:rFonts w:ascii="Arial" w:hAnsi="Arial" w:cs="Arial"/>
                <w:sz w:val="10"/>
                <w:szCs w:val="10"/>
                <w:vertAlign w:val="superscript"/>
                <w:lang w:bidi="ru-RU"/>
              </w:rPr>
              <w:t>10</w:t>
            </w: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proofErr w:type="gramStart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Бк,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1 Бк = 2,7·10</w:t>
            </w:r>
            <w:r w:rsidRPr="00D312D7">
              <w:rPr>
                <w:rFonts w:ascii="Arial" w:hAnsi="Arial" w:cs="Arial"/>
                <w:sz w:val="10"/>
                <w:szCs w:val="10"/>
                <w:vertAlign w:val="superscript"/>
                <w:lang w:bidi="ru-RU"/>
              </w:rPr>
              <w:t>-11</w:t>
            </w: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 xml:space="preserve"> Ки.</w:t>
            </w:r>
          </w:p>
          <w:p w14:paraId="48CA077E" w14:textId="77777777" w:rsidR="00FB5A91" w:rsidRPr="00A24C1D" w:rsidRDefault="00FB5A91" w:rsidP="00FB5A91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 xml:space="preserve">Единица активности 1Ки соответствует активности 1 г радия (Ra-226). В практике измерений пользуются также понятиями объемной </w:t>
            </w:r>
            <w:proofErr w:type="spellStart"/>
            <w:proofErr w:type="gramStart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Av</w:t>
            </w:r>
            <w:proofErr w:type="spellEnd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(</w:t>
            </w:r>
            <w:proofErr w:type="gramEnd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 xml:space="preserve">Бк/м3,Ки/м3), поверхностной </w:t>
            </w:r>
            <w:proofErr w:type="spellStart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Аs</w:t>
            </w:r>
            <w:proofErr w:type="spellEnd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 xml:space="preserve">, (Бк/м2, Ки/м2), удельной </w:t>
            </w:r>
            <w:proofErr w:type="spellStart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Аm</w:t>
            </w:r>
            <w:proofErr w:type="spellEnd"/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 xml:space="preserve"> (Бк/кг, Ки/кг) активности.</w:t>
            </w:r>
          </w:p>
          <w:p w14:paraId="736BF557" w14:textId="3302C9B1" w:rsidR="00867386" w:rsidRPr="00D3412F" w:rsidRDefault="00867386" w:rsidP="00867386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5308E" w:rsidRPr="007A63F4" w14:paraId="3226FDAC" w14:textId="77777777" w:rsidTr="007C736D">
        <w:trPr>
          <w:trHeight w:val="3345"/>
        </w:trPr>
        <w:tc>
          <w:tcPr>
            <w:tcW w:w="2608" w:type="dxa"/>
          </w:tcPr>
          <w:p w14:paraId="44B4280A" w14:textId="77777777" w:rsidR="00DC0412" w:rsidRDefault="00DC0412" w:rsidP="00DC0412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способны восстанавливать пептидные связи. 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Этим объясняются их радиопротекторные свойства.</w:t>
            </w:r>
          </w:p>
          <w:p w14:paraId="4E70F1A8" w14:textId="77777777" w:rsidR="00DC0412" w:rsidRPr="008C26E8" w:rsidRDefault="00DC0412" w:rsidP="00DC0412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4. Фенольные соединения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. Они имеют полимерную структуру. Учеными США был выделен препарат меланин. В сочетании с витамином С он показал достаточно высокую эффективность.</w:t>
            </w:r>
          </w:p>
          <w:p w14:paraId="09F2E6D8" w14:textId="5DF394B1" w:rsidR="00C5308E" w:rsidRPr="00757F78" w:rsidRDefault="00DC0412" w:rsidP="00DC0412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8C26E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Способы ускоренного выведения радионуклидов из организма. 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Радионуклиды выводятся из организма за счет процессов обмена, этот обмен можно ускорить следующими способами: за счет массажа и занятий спортом; при помывке в бане с парилкой; при голодании; при употреблении мочегонных средств и желчегонных средств; при употреблении фруктовых соков, чая, </w:t>
            </w:r>
            <w:proofErr w:type="spellStart"/>
            <w:proofErr w:type="gramStart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компотов;при</w:t>
            </w:r>
            <w:proofErr w:type="spellEnd"/>
            <w:proofErr w:type="gramEnd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 употреблении фруктов, мармелада, т.е. продуктов, содержащих пектины. Последние аккумулируют радионуклиды с дальнейшим выводом из организма; путем регулярного опорожнения кишечника, для чего включают в рацион питания: хлеб грубого помола, пшено, крупы , капусту, свеклу, чернослив; рекомендуется также употреблять отвары семян льна, крапивы; путем использования продуктов, связывающих радионуклиды (, овощи и продукты, содержащие клетчатку); за счет употребления повышенного количества зеленых овощей, содержащих повышенное количество солей кальция и калия, выводящих из организма цезий-137 и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14:paraId="612C575A" w14:textId="2661D422" w:rsidR="00E5537A" w:rsidRPr="008C26E8" w:rsidRDefault="00E5537A" w:rsidP="00E5537A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3). Агрохимические: известкование кислых почв; внесение органических удобрений внесение минеральных удобрений; внесение повышенных доз Р и К удобрений; оптимизация азотного питания растений на основе почвенно-растительной диагностики. Эффективность агрохимических мероприятий: 1 - при внесении удобрений повышается плодородие почвы, увеличивается урожайность сельскохозяйственных 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культур;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 2 - перевод радионуклидов в труднодоступное состояние (внесение Р и органических удобрений); 3- почвенный поглотительный комплекс насыщается химическими аналогами цезия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и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proofErr w:type="gramStart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стронция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K</w:t>
            </w:r>
            <w:proofErr w:type="gramEnd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 и </w:t>
            </w:r>
            <w:proofErr w:type="spellStart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Са</w:t>
            </w:r>
            <w:proofErr w:type="spellEnd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</w:p>
          <w:p w14:paraId="097BFD62" w14:textId="01FAAADE" w:rsidR="00C5308E" w:rsidRPr="00D22FDA" w:rsidRDefault="00E5537A" w:rsidP="00E5537A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4) Технологические: промывка и первичная очистка убранной плодоовощной и технической продукцией, переработка полученной продукции с целью снижения в ней концентрации радионуклидов; специальная система кормления животных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с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 применением сорбирующих препаратов.</w:t>
            </w:r>
          </w:p>
        </w:tc>
        <w:tc>
          <w:tcPr>
            <w:tcW w:w="2608" w:type="dxa"/>
          </w:tcPr>
          <w:p w14:paraId="168B6BEF" w14:textId="436AEC50" w:rsidR="00C5308E" w:rsidRPr="00D22FDA" w:rsidRDefault="00E5537A" w:rsidP="00E5537A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 xml:space="preserve">повязки, </w:t>
            </w:r>
            <w:proofErr w:type="spellStart"/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>противопылевые</w:t>
            </w:r>
            <w:proofErr w:type="spellEnd"/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 xml:space="preserve"> маски; использовать защитные свойства зданий, сооружений, техники; не пить воду из незнакомых источников и не купаться в них; колодцы в сельской местности должны иметь цементную или бетонную стяжку и на колодцах должны быть крышки для недопущения попадания пыли в воду; на местности работать в головных уборах и защитной одежде; в зимнее время проветривать кухню и жилые помещения не менее 5 часов в сутки для удаления радона; для удаления радона из воды во время ее кипения открывать на несколько секунд крышку посуды; всегда соблюдать правила личной гигиены.</w:t>
            </w:r>
          </w:p>
        </w:tc>
        <w:tc>
          <w:tcPr>
            <w:tcW w:w="2608" w:type="dxa"/>
          </w:tcPr>
          <w:p w14:paraId="7CE23E89" w14:textId="43B72A9D" w:rsidR="00C5308E" w:rsidRPr="007A63F4" w:rsidRDefault="00C5308E" w:rsidP="00E86DCE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</w:p>
        </w:tc>
        <w:tc>
          <w:tcPr>
            <w:tcW w:w="2608" w:type="dxa"/>
          </w:tcPr>
          <w:p w14:paraId="525C37AC" w14:textId="77777777" w:rsidR="00EF1D71" w:rsidRPr="00215448" w:rsidRDefault="00EF1D71" w:rsidP="00EF1D71">
            <w:pPr>
              <w:spacing w:before="60"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площади лесных массивов, заготовка древесины на территории с плотностью загрязнения по цезию-137 555 </w:t>
            </w:r>
            <w:proofErr w:type="spellStart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кБк</w:t>
            </w:r>
            <w:proofErr w:type="spellEnd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/м^2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и выше полностью прекращена.</w:t>
            </w:r>
          </w:p>
          <w:p w14:paraId="36D0AF1B" w14:textId="77777777" w:rsidR="00EF1D71" w:rsidRPr="00215448" w:rsidRDefault="00EF1D71" w:rsidP="00EF1D71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В зоне загрязнения находится около 340 промышленных предприятий, условия функционирования которых существенно ухудшились. В связи с отселением жителей из наиболее пострадавших районов, деятельность ряда промышленных предприятий и объектов социальной сферы прекращена. Другие же несут большие потери и продолжают терпеть убытки от снижения объемов производства, неполной окупаемости средств, вложенных в здания, сооружения, оборудование, мелиоративные системы. Существенными являются потери топлива, сырья и материалов.</w:t>
            </w:r>
          </w:p>
          <w:p w14:paraId="7EDA6EAE" w14:textId="77777777" w:rsidR="00EF1D71" w:rsidRPr="00215448" w:rsidRDefault="00EF1D71" w:rsidP="00EF1D71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На радиоактивно загрязненных территориях резко проявляются спад производства, отток из этих районов населения, неразвитость потребительского сектора, низкий уровень удовлетворения потребностей в социально бытовом и медицинском обслуживании населения.</w:t>
            </w:r>
          </w:p>
          <w:p w14:paraId="44F2FC50" w14:textId="1CD4FB2E" w:rsidR="00C5308E" w:rsidRPr="00D3412F" w:rsidRDefault="00EF1D71" w:rsidP="00EF1D71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Ущерб, нанесенный 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Б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чернобыльской катастрофой в расчете на 30-летний период ее преодоления, оценивается в 235 млрд. долларов США, что равно 32 бюджетам республики 1985 г.</w:t>
            </w:r>
          </w:p>
        </w:tc>
        <w:tc>
          <w:tcPr>
            <w:tcW w:w="2608" w:type="dxa"/>
          </w:tcPr>
          <w:p w14:paraId="39431748" w14:textId="77777777" w:rsidR="003E7BF1" w:rsidRDefault="003E7BF1" w:rsidP="003E7BF1">
            <w:pPr>
              <w:spacing w:before="60"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территории республики (2070 км</w:t>
            </w:r>
            <w:proofErr w:type="gramStart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2 )</w:t>
            </w:r>
            <w:proofErr w:type="gramEnd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; – плутоний-239 – загрязнил 2% территории республики (430 км2 ).</w:t>
            </w:r>
          </w:p>
          <w:p w14:paraId="5DE0EA3D" w14:textId="77777777" w:rsidR="003E7BF1" w:rsidRPr="00215448" w:rsidRDefault="003E7BF1" w:rsidP="003E7BF1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>Цезий-137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. Хорошо сорбируется почвами (особенно черноземами). </w:t>
            </w:r>
            <w:r w:rsidRPr="00215448">
              <w:rPr>
                <w:rFonts w:ascii="Arial" w:hAnsi="Arial" w:cs="Arial"/>
                <w:sz w:val="10"/>
                <w:szCs w:val="10"/>
                <w:lang w:val="en-US" w:bidi="ru-RU"/>
              </w:rPr>
              <w:t>b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- и </w:t>
            </w:r>
            <w:r w:rsidRPr="00215448">
              <w:rPr>
                <w:rFonts w:ascii="Arial" w:hAnsi="Arial" w:cs="Arial"/>
                <w:sz w:val="10"/>
                <w:szCs w:val="10"/>
                <w:lang w:val="en-US" w:bidi="ru-RU"/>
              </w:rPr>
              <w:t>g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-излучатель, период полураспада составляет 30 лет. На территорию Беларуси выпал в виде дисперсных частиц размером от 2 мкм до нескольких сотен мкм.</w:t>
            </w:r>
          </w:p>
          <w:p w14:paraId="18871222" w14:textId="77777777" w:rsidR="003E7BF1" w:rsidRPr="00215448" w:rsidRDefault="003E7BF1" w:rsidP="003E7BF1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>Стронций-90.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215448">
              <w:rPr>
                <w:rFonts w:ascii="Arial" w:hAnsi="Arial" w:cs="Arial"/>
                <w:sz w:val="10"/>
                <w:szCs w:val="10"/>
                <w:lang w:val="en-US" w:bidi="ru-RU"/>
              </w:rPr>
              <w:t>b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-излучатель. Период полураспада – 29 лет. Входит в состав биологической ткани животных и растений.</w:t>
            </w:r>
          </w:p>
          <w:p w14:paraId="10CF7261" w14:textId="77777777" w:rsidR="003E7BF1" w:rsidRPr="00215448" w:rsidRDefault="003E7BF1" w:rsidP="003E7BF1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>Америций-241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является продуктом распада плутония-241, </w:t>
            </w:r>
            <w:r w:rsidRPr="00215448">
              <w:rPr>
                <w:rFonts w:ascii="Arial" w:hAnsi="Arial" w:cs="Arial"/>
                <w:sz w:val="10"/>
                <w:szCs w:val="10"/>
                <w:lang w:val="en-US" w:bidi="ru-RU"/>
              </w:rPr>
              <w:t>a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- и </w:t>
            </w:r>
            <w:r w:rsidRPr="00215448">
              <w:rPr>
                <w:rFonts w:ascii="Arial" w:hAnsi="Arial" w:cs="Arial"/>
                <w:sz w:val="10"/>
                <w:szCs w:val="10"/>
                <w:lang w:val="en-US" w:bidi="ru-RU"/>
              </w:rPr>
              <w:t>g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- излучатель. На территорию Республики Беларусь плутония-241 выпало незначительное количество, однако, этот элемент опасен тем, что в отличие от других радионуклидов, обладает очень жестким гамма-излучением.</w:t>
            </w:r>
          </w:p>
          <w:p w14:paraId="76C79FA3" w14:textId="78432A35" w:rsidR="00C5308E" w:rsidRPr="00C5308E" w:rsidRDefault="00C5308E" w:rsidP="00C5308E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6A12" w:rsidRPr="006B0A02" w14:paraId="0FA6BE68" w14:textId="77777777" w:rsidTr="007C736D">
        <w:trPr>
          <w:trHeight w:val="3345"/>
        </w:trPr>
        <w:tc>
          <w:tcPr>
            <w:tcW w:w="2608" w:type="dxa"/>
          </w:tcPr>
          <w:p w14:paraId="10BDDEAF" w14:textId="77777777" w:rsidR="00DC6DF9" w:rsidRPr="00704E0D" w:rsidRDefault="00DC6DF9" w:rsidP="00DC6DF9">
            <w:pPr>
              <w:pStyle w:val="a4"/>
              <w:spacing w:before="60"/>
              <w:ind w:left="0"/>
              <w:rPr>
                <w:rFonts w:ascii="Arial" w:hAnsi="Arial" w:cs="Arial"/>
                <w:sz w:val="10"/>
                <w:szCs w:val="10"/>
              </w:rPr>
            </w:pPr>
            <w:r w:rsidRPr="00704E0D">
              <w:rPr>
                <w:rFonts w:ascii="Arial" w:hAnsi="Arial" w:cs="Arial"/>
                <w:sz w:val="10"/>
                <w:szCs w:val="10"/>
              </w:rPr>
              <w:t>образом</w:t>
            </w:r>
            <w:bookmarkStart w:id="0" w:name="_GoBack"/>
            <w:bookmarkEnd w:id="0"/>
            <w:r w:rsidRPr="00704E0D">
              <w:rPr>
                <w:rFonts w:ascii="Arial" w:hAnsi="Arial" w:cs="Arial"/>
                <w:sz w:val="10"/>
                <w:szCs w:val="10"/>
              </w:rPr>
              <w:t xml:space="preserve"> его жизни. Источники вредных веществ, ухудшающих состояние человека и способствующих возникновению многих заболеваний, могут находиться повсеместно: дома, на работе, на улице, в местах отдыха. К основным неблагоприятным факторам окружающей среды, которые связывают с возникновением экологически обусловленных заболеваний, относят:</w:t>
            </w:r>
          </w:p>
          <w:p w14:paraId="5F149C7D" w14:textId="77777777" w:rsidR="00DC6DF9" w:rsidRPr="00704E0D" w:rsidRDefault="00DC6DF9" w:rsidP="00DC6DF9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ascii="Arial" w:hAnsi="Arial" w:cs="Arial"/>
                <w:sz w:val="10"/>
                <w:szCs w:val="10"/>
              </w:rPr>
            </w:pPr>
            <w:r w:rsidRPr="00704E0D">
              <w:rPr>
                <w:rFonts w:ascii="Arial" w:hAnsi="Arial" w:cs="Arial"/>
                <w:sz w:val="10"/>
                <w:szCs w:val="10"/>
              </w:rPr>
              <w:t>физические (шум, электромагнитное загрязнение среды, погодные факторы);</w:t>
            </w:r>
          </w:p>
          <w:p w14:paraId="34C45B1A" w14:textId="77777777" w:rsidR="00DC6DF9" w:rsidRPr="00704E0D" w:rsidRDefault="00DC6DF9" w:rsidP="00DC6DF9">
            <w:pPr>
              <w:pStyle w:val="a4"/>
              <w:numPr>
                <w:ilvl w:val="0"/>
                <w:numId w:val="27"/>
              </w:numPr>
              <w:spacing w:after="0"/>
              <w:ind w:left="0" w:firstLine="0"/>
              <w:rPr>
                <w:rFonts w:ascii="Arial" w:hAnsi="Arial" w:cs="Arial"/>
                <w:sz w:val="10"/>
                <w:szCs w:val="10"/>
              </w:rPr>
            </w:pPr>
            <w:r w:rsidRPr="00704E0D">
              <w:rPr>
                <w:rFonts w:ascii="Arial" w:hAnsi="Arial" w:cs="Arial"/>
                <w:sz w:val="10"/>
                <w:szCs w:val="10"/>
              </w:rPr>
              <w:t>химические (химическое загрязнение атмосферы и жилых помещений органическими и неорганическими вредными и опасными химическими соединениями);</w:t>
            </w:r>
          </w:p>
          <w:p w14:paraId="1CDE86B4" w14:textId="6BE7B94D" w:rsidR="00946A12" w:rsidRPr="00277554" w:rsidRDefault="00DC6DF9" w:rsidP="00DC6DF9">
            <w:pPr>
              <w:spacing w:after="0" w:line="192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704E0D">
              <w:rPr>
                <w:rFonts w:ascii="Arial" w:hAnsi="Arial" w:cs="Arial"/>
                <w:sz w:val="10"/>
                <w:szCs w:val="10"/>
              </w:rPr>
              <w:t>биологические (микроорганизмы, токсины, высшие растения-аллергены) факторы.</w:t>
            </w:r>
          </w:p>
        </w:tc>
        <w:tc>
          <w:tcPr>
            <w:tcW w:w="2608" w:type="dxa"/>
          </w:tcPr>
          <w:p w14:paraId="4C3D2BDE" w14:textId="7EDE5136" w:rsidR="00946A12" w:rsidRPr="00757F78" w:rsidRDefault="00F1733C" w:rsidP="00F1733C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 xml:space="preserve">эрозия почв, химическое загрязнение, нарушение структуры почвенного покрова и загрязнение отходами при открытых способах добычи полезных ископаемых, просадка почвы при закрытых добычах полезных ископаемых, загрязнение отходами промышленности (отвалы, шламы, свалки), вырубка лесов,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п</w:t>
            </w:r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>еревыпас скота, мелиорация, уплотнение почвы тяжелой сельскохозяйственной техникой, нарушение биологического равновесия в почве (применение пестицидов уменьшает видового разнообразие почвенных организмов, снижение биохимических процессов, изменение физико-химических свойств почвы). Опустынивание земель влечет за собой большие экономические и социальные проблемы – увеличение числа экологических мигрантов. Дальнейшая деградация земель, резкое снижение урожайности ставит под угрозу жизнь примерно 250 млн. чел. и ухудшает условия жизни 1 млрд. чел. Около 135 млн. чел. находятся под угрозой превращения в экологических беженцев. Экономические потери из-за опустынивания в мире составляют 42 млрд. долл./год в виде утраченного дохода. Прогнозируется, что к 2020 г. 60 миллионов жителей южной части Африки из-за потери плодородных почв будут вынуждены покинуть свои дома и перебраться в другие районы континента или в Европу. К 2050 г. число мигрантов может увеличиться до 200 миллионов человек.</w:t>
            </w:r>
          </w:p>
        </w:tc>
        <w:tc>
          <w:tcPr>
            <w:tcW w:w="2608" w:type="dxa"/>
          </w:tcPr>
          <w:p w14:paraId="50BD1A7D" w14:textId="6DC484BA" w:rsidR="00946A12" w:rsidRPr="00946A12" w:rsidRDefault="00946A12" w:rsidP="00946A12">
            <w:pPr>
              <w:spacing w:line="204" w:lineRule="auto"/>
              <w:rPr>
                <w:rFonts w:ascii="Arial" w:hAnsi="Arial" w:cs="Arial"/>
                <w:sz w:val="10"/>
                <w:szCs w:val="10"/>
                <w:lang w:bidi="ru-RU"/>
              </w:rPr>
            </w:pPr>
          </w:p>
        </w:tc>
        <w:tc>
          <w:tcPr>
            <w:tcW w:w="2608" w:type="dxa"/>
          </w:tcPr>
          <w:p w14:paraId="6255CEB1" w14:textId="77777777" w:rsidR="00F1733C" w:rsidRPr="00D55732" w:rsidRDefault="00F1733C" w:rsidP="00F1733C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Дампинг – захоронение отходов в океанах и морях.</w:t>
            </w:r>
          </w:p>
          <w:p w14:paraId="10E74BF2" w14:textId="77777777" w:rsidR="00F1733C" w:rsidRPr="00D55732" w:rsidRDefault="00F1733C" w:rsidP="00F1733C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Термическое – когда электростанции употребляют воду для конденсации отработанного пара, они возвращают ее в водоем подогретой на 10-30 С. Это приводит к уменьшению содержания кислорода в водной среде, увеличению токсичности имеющихся в ней загрязнителей, уменьшению доступа света к водной растительности, стимулированию роста вредных сине-зеленых водорослей.</w:t>
            </w:r>
          </w:p>
          <w:p w14:paraId="14594F1E" w14:textId="77777777" w:rsidR="00F1733C" w:rsidRPr="00D55732" w:rsidRDefault="00F1733C" w:rsidP="00F1733C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 xml:space="preserve">Последствия загрязнения гидросферы: истощение вод (нехватка питьевой воды); тяжелые заболевания; гибель живых существ; возникновение мутагенеза; </w:t>
            </w:r>
          </w:p>
          <w:p w14:paraId="413D0153" w14:textId="77777777" w:rsidR="00F1733C" w:rsidRPr="00D55732" w:rsidRDefault="00F1733C" w:rsidP="00F1733C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b/>
                <w:sz w:val="10"/>
                <w:szCs w:val="10"/>
                <w:lang w:bidi="ru-RU"/>
              </w:rPr>
              <w:t>Загрязнение Мирового океана.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 xml:space="preserve"> Ежегодно в Мировой океан попадает до 100 млн. тонн различных отходов. Наиболее загрязненными являются моря: Средиземное, Северное, Балтийское, Черное, Азовское, Японское, а также Бискайский, Персидский, Мексиканский, Гвинейский заливы.</w:t>
            </w:r>
          </w:p>
          <w:p w14:paraId="71B57FE2" w14:textId="5C68954F" w:rsidR="00946A12" w:rsidRPr="00D22FDA" w:rsidRDefault="00F1733C" w:rsidP="00F1733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Основные источники загрязнения мирового океана: загрязнение радиоактивными веществами(испытания ядерного оружия; непосредственный сброс радиоактивных отходов в море); крупномасштабные катастрофы на объектах военно-промышленного комплекса и атомной энергетики; аварии судов и подводных лодок с атомными реакторами на борту;  аварийные ситуации; аварии танкеров. захоронение отходов (дампинг)</w:t>
            </w:r>
          </w:p>
        </w:tc>
        <w:tc>
          <w:tcPr>
            <w:tcW w:w="2608" w:type="dxa"/>
          </w:tcPr>
          <w:p w14:paraId="11D25CC4" w14:textId="04F4430C" w:rsidR="00CC70D3" w:rsidRPr="009E0331" w:rsidRDefault="00CC70D3" w:rsidP="00CC70D3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>перераспределение выпадения осадков по территории суши, изменение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>гидрологического режима водных объектов, миграция суши, изменение или замена видового состава растений, даже смещение климатич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еских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 зон в северном направлении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, 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>повышение уровня Мирового океана, приводящее к затоплению тер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рито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>рий и возникновению сложных экономических и соц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 ситуаций. </w:t>
            </w:r>
          </w:p>
          <w:p w14:paraId="4E3D7756" w14:textId="270385BD" w:rsidR="00CC70D3" w:rsidRPr="009E0331" w:rsidRDefault="00CC70D3" w:rsidP="00CC70D3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К </w:t>
            </w:r>
            <w:r w:rsidRPr="009E0331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факторам, разрушающим </w:t>
            </w:r>
            <w:r w:rsidRPr="009E0331">
              <w:rPr>
                <w:rFonts w:ascii="Arial" w:hAnsi="Arial" w:cs="Arial"/>
                <w:b/>
                <w:sz w:val="10"/>
                <w:szCs w:val="10"/>
                <w:lang w:bidi="ru-RU"/>
              </w:rPr>
              <w:t>озоновый слой,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 относят: Запуски мощных ракет; Ежедневные полеты реактивных самолетов в высокие слои атмосферы; Испытания ядерного и термоядерного оружия; Пожары и вырубка леса — природного озонатора. </w:t>
            </w:r>
          </w:p>
          <w:p w14:paraId="2717F78F" w14:textId="77777777" w:rsidR="00CC70D3" w:rsidRPr="009E0331" w:rsidRDefault="00CC70D3" w:rsidP="00CC70D3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В 1987 г. Был принят </w:t>
            </w:r>
            <w:proofErr w:type="spellStart"/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>Монреальский</w:t>
            </w:r>
            <w:proofErr w:type="spellEnd"/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 протокол о запрете веществ, разрушающих озоновый слой. </w:t>
            </w:r>
          </w:p>
          <w:p w14:paraId="720B5BBC" w14:textId="5D80F034" w:rsidR="00946A12" w:rsidRPr="00757F78" w:rsidRDefault="00CC70D3" w:rsidP="00CC70D3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9E0331">
              <w:rPr>
                <w:rFonts w:ascii="Arial" w:hAnsi="Arial" w:cs="Arial"/>
                <w:b/>
                <w:sz w:val="10"/>
                <w:szCs w:val="10"/>
                <w:lang w:bidi="ru-RU"/>
              </w:rPr>
              <w:t>Последствия разрушения озонового слоя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 может вызывать: Рост заболеваемости раком кожи. Установлено, что снижение концентрации озона на 1% будет вести к увеличению числа злокачественных заболеваний кожи на 4%, и это явление зависит от географической широты. Увеличение числа катаракт. Снижение устойчивости к инфекционным заболеваниям. Для </w:t>
            </w:r>
            <w:proofErr w:type="spellStart"/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>аква</w:t>
            </w:r>
            <w:proofErr w:type="spellEnd"/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-эко-систем — гибель морского фитопланктона — основы пищевой цепочки для всех антарктических животных.  </w:t>
            </w:r>
          </w:p>
        </w:tc>
        <w:tc>
          <w:tcPr>
            <w:tcW w:w="2608" w:type="dxa"/>
          </w:tcPr>
          <w:p w14:paraId="63156122" w14:textId="77777777" w:rsidR="00F25EBE" w:rsidRPr="007E2D3B" w:rsidRDefault="00F25EBE" w:rsidP="00F25EBE">
            <w:pPr>
              <w:spacing w:before="60" w:after="0" w:line="216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b/>
                <w:sz w:val="10"/>
                <w:szCs w:val="10"/>
                <w:lang w:bidi="ru-RU"/>
              </w:rPr>
              <w:t>32.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</w:t>
            </w:r>
            <w:r w:rsidRPr="007E2D3B">
              <w:rPr>
                <w:rFonts w:ascii="Arial" w:hAnsi="Arial" w:cs="Arial"/>
                <w:b/>
                <w:sz w:val="10"/>
                <w:szCs w:val="10"/>
                <w:lang w:bidi="ru-RU"/>
              </w:rPr>
              <w:t>Причины возникновения глобальных экологических проблем</w:t>
            </w:r>
          </w:p>
          <w:p w14:paraId="463C4B70" w14:textId="77777777" w:rsidR="00F25EBE" w:rsidRPr="007E2D3B" w:rsidRDefault="00F25EBE" w:rsidP="00F25EBE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Причины возникновения глобальных проблем:</w:t>
            </w:r>
          </w:p>
          <w:p w14:paraId="1226EBB8" w14:textId="77777777" w:rsidR="00F25EBE" w:rsidRPr="007E2D3B" w:rsidRDefault="00F25EBE" w:rsidP="00F25EBE">
            <w:pPr>
              <w:numPr>
                <w:ilvl w:val="0"/>
                <w:numId w:val="24"/>
              </w:numPr>
              <w:tabs>
                <w:tab w:val="num" w:pos="720"/>
              </w:tabs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многолетнее бесконтрольное и не всегда оправданное расходование природных ресурсов; </w:t>
            </w:r>
          </w:p>
          <w:p w14:paraId="7A2DB820" w14:textId="77777777" w:rsidR="00F25EBE" w:rsidRPr="007E2D3B" w:rsidRDefault="00F25EBE" w:rsidP="00F25EBE">
            <w:pPr>
              <w:numPr>
                <w:ilvl w:val="0"/>
                <w:numId w:val="24"/>
              </w:numPr>
              <w:tabs>
                <w:tab w:val="num" w:pos="720"/>
              </w:tabs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индустриализация хозяйства;</w:t>
            </w:r>
          </w:p>
          <w:p w14:paraId="46FD8C00" w14:textId="164BD0E1" w:rsidR="00F25EBE" w:rsidRPr="007E2D3B" w:rsidRDefault="00F25EBE" w:rsidP="00F25EBE">
            <w:pPr>
              <w:numPr>
                <w:ilvl w:val="0"/>
                <w:numId w:val="24"/>
              </w:numPr>
              <w:tabs>
                <w:tab w:val="num" w:pos="720"/>
              </w:tabs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увеличение числ</w:t>
            </w:r>
            <w:r w:rsidR="00CC70D3">
              <w:rPr>
                <w:rFonts w:ascii="Arial" w:hAnsi="Arial" w:cs="Arial"/>
                <w:sz w:val="10"/>
                <w:szCs w:val="10"/>
                <w:lang w:bidi="ru-RU"/>
              </w:rPr>
              <w:t>енно</w:t>
            </w: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сти людей и их потребностей.</w:t>
            </w:r>
          </w:p>
          <w:p w14:paraId="07F0B6E4" w14:textId="77777777" w:rsidR="00F25EBE" w:rsidRPr="007E2D3B" w:rsidRDefault="00F25EBE" w:rsidP="00F25EBE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В промышленно </w:t>
            </w:r>
            <w:hyperlink r:id="rId5" w:history="1"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>развитых странах</w:t>
              </w:r>
            </w:hyperlink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 экологические проблемы имеют преимущественно «индустриальный характер», а в развивающихся – обусловлены в первую очередь «</w:t>
            </w:r>
            <w:proofErr w:type="spellStart"/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переиспользованием</w:t>
            </w:r>
            <w:proofErr w:type="spellEnd"/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 xml:space="preserve"> естественных ресурсов».</w:t>
            </w:r>
          </w:p>
          <w:p w14:paraId="38A508F8" w14:textId="77777777" w:rsidR="00F25EBE" w:rsidRPr="007E2D3B" w:rsidRDefault="00F25EBE" w:rsidP="00F25EBE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Экологические проблемы условно можно разделить на три группы:</w:t>
            </w:r>
          </w:p>
          <w:p w14:paraId="2E55D827" w14:textId="77777777" w:rsidR="00F25EBE" w:rsidRPr="007E2D3B" w:rsidRDefault="00F25EBE" w:rsidP="00F25EBE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Деградация окружающей среды в результате нерационального </w:t>
            </w:r>
            <w:hyperlink r:id="rId6" w:history="1"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>природопользования</w:t>
              </w:r>
            </w:hyperlink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 xml:space="preserve"> ( </w:t>
            </w:r>
            <w:proofErr w:type="spellStart"/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обезлесивание</w:t>
            </w:r>
            <w:proofErr w:type="spellEnd"/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, </w:t>
            </w:r>
            <w:hyperlink r:id="rId7" w:history="1"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 xml:space="preserve">почвенная </w:t>
              </w:r>
              <w:proofErr w:type="spellStart"/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>эррозия</w:t>
              </w:r>
              <w:proofErr w:type="spellEnd"/>
            </w:hyperlink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, опустынивание ).</w:t>
            </w:r>
          </w:p>
          <w:p w14:paraId="2E5223A4" w14:textId="77777777" w:rsidR="00F25EBE" w:rsidRPr="007E2D3B" w:rsidRDefault="00F25EBE" w:rsidP="00F25EBE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Загрязнение </w:t>
            </w:r>
            <w:hyperlink r:id="rId8" w:history="1"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>литосферы</w:t>
              </w:r>
            </w:hyperlink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, </w:t>
            </w:r>
            <w:hyperlink r:id="rId9" w:history="1"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>гидросферы</w:t>
              </w:r>
            </w:hyperlink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 и </w:t>
            </w:r>
            <w:hyperlink r:id="rId10" w:history="1"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>атмосферы</w:t>
              </w:r>
            </w:hyperlink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 твердыми, жидкими и газообразными отходами антропогенной деятельности.</w:t>
            </w:r>
          </w:p>
          <w:p w14:paraId="202E0B65" w14:textId="77777777" w:rsidR="00F25EBE" w:rsidRPr="007E2D3B" w:rsidRDefault="00F25EBE" w:rsidP="00F25EBE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Отравление окружающей среды химическими веществами, создаваемыми в процессе производства (химикаты, </w:t>
            </w:r>
            <w:hyperlink r:id="rId11" w:history="1"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>пестициды</w:t>
              </w:r>
            </w:hyperlink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, фреоны – разрушители </w:t>
            </w:r>
            <w:hyperlink r:id="rId12" w:history="1"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>озонового слоя</w:t>
              </w:r>
            </w:hyperlink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)</w:t>
            </w:r>
          </w:p>
          <w:p w14:paraId="69377595" w14:textId="2177D9BD" w:rsidR="00946A12" w:rsidRPr="00867386" w:rsidRDefault="00F25EBE" w:rsidP="00F25EBE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Кроме того, много экологических проблем возникает в результате экологических катастроф на промышленных предприятиях (катастрофа на Чернобыльской АЭС в 1986 г.) и на определенных территориях (</w:t>
            </w:r>
            <w:hyperlink r:id="rId13" w:history="1">
              <w:r w:rsidRPr="007E2D3B">
                <w:rPr>
                  <w:rStyle w:val="a5"/>
                  <w:rFonts w:ascii="Arial" w:hAnsi="Arial" w:cs="Arial"/>
                  <w:color w:val="auto"/>
                  <w:sz w:val="10"/>
                  <w:szCs w:val="10"/>
                  <w:lang w:bidi="ru-RU"/>
                </w:rPr>
                <w:t>лесные пожары</w:t>
              </w:r>
            </w:hyperlink>
            <w:r w:rsidRPr="007E2D3B">
              <w:rPr>
                <w:rFonts w:ascii="Arial" w:hAnsi="Arial" w:cs="Arial"/>
                <w:sz w:val="10"/>
                <w:szCs w:val="10"/>
                <w:lang w:bidi="ru-RU"/>
              </w:rPr>
              <w:t>).</w:t>
            </w:r>
          </w:p>
        </w:tc>
      </w:tr>
    </w:tbl>
    <w:p w14:paraId="0AE35721" w14:textId="77777777" w:rsidR="00FB17A1" w:rsidRDefault="00FB17A1"/>
    <w:sectPr w:rsidR="00FB17A1" w:rsidSect="00F129FC">
      <w:pgSz w:w="16838" w:h="11906" w:orient="landscape" w:code="9"/>
      <w:pgMar w:top="595" w:right="595" w:bottom="595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7ED"/>
    <w:multiLevelType w:val="hybridMultilevel"/>
    <w:tmpl w:val="7EC6F21E"/>
    <w:lvl w:ilvl="0" w:tplc="425C3188">
      <w:start w:val="1"/>
      <w:numFmt w:val="bullet"/>
      <w:suff w:val="space"/>
      <w:lvlText w:val=""/>
      <w:lvlJc w:val="left"/>
      <w:pPr>
        <w:ind w:left="2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1" w15:restartNumberingAfterBreak="0">
    <w:nsid w:val="03F86501"/>
    <w:multiLevelType w:val="hybridMultilevel"/>
    <w:tmpl w:val="E8549966"/>
    <w:lvl w:ilvl="0" w:tplc="54C219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5B793E"/>
    <w:multiLevelType w:val="hybridMultilevel"/>
    <w:tmpl w:val="1AEAE064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450102"/>
    <w:multiLevelType w:val="hybridMultilevel"/>
    <w:tmpl w:val="A588DEF4"/>
    <w:lvl w:ilvl="0" w:tplc="9B8231F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0568D"/>
    <w:multiLevelType w:val="multilevel"/>
    <w:tmpl w:val="F40879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B7E87"/>
    <w:multiLevelType w:val="hybridMultilevel"/>
    <w:tmpl w:val="D3EEE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FC6A2F4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C6813"/>
    <w:multiLevelType w:val="hybridMultilevel"/>
    <w:tmpl w:val="8BBE5966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4004884"/>
    <w:multiLevelType w:val="hybridMultilevel"/>
    <w:tmpl w:val="6E52DE6C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72619F"/>
    <w:multiLevelType w:val="hybridMultilevel"/>
    <w:tmpl w:val="5F7A6794"/>
    <w:lvl w:ilvl="0" w:tplc="7E4827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1A5BDC">
      <w:start w:val="3"/>
      <w:numFmt w:val="bullet"/>
      <w:lvlText w:val="•"/>
      <w:lvlJc w:val="left"/>
      <w:pPr>
        <w:ind w:left="2149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D63136"/>
    <w:multiLevelType w:val="multilevel"/>
    <w:tmpl w:val="5494057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6925C0E"/>
    <w:multiLevelType w:val="hybridMultilevel"/>
    <w:tmpl w:val="1BCA5ED4"/>
    <w:lvl w:ilvl="0" w:tplc="6E04F0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77D2ACB"/>
    <w:multiLevelType w:val="hybridMultilevel"/>
    <w:tmpl w:val="C3DA1656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0706CA3"/>
    <w:multiLevelType w:val="hybridMultilevel"/>
    <w:tmpl w:val="3F9CD032"/>
    <w:lvl w:ilvl="0" w:tplc="5980DD74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4CF29DB"/>
    <w:multiLevelType w:val="multilevel"/>
    <w:tmpl w:val="F95837C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69F36A8"/>
    <w:multiLevelType w:val="hybridMultilevel"/>
    <w:tmpl w:val="9CCEFDE0"/>
    <w:lvl w:ilvl="0" w:tplc="F7203432"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7B9546D"/>
    <w:multiLevelType w:val="hybridMultilevel"/>
    <w:tmpl w:val="0D3C3398"/>
    <w:lvl w:ilvl="0" w:tplc="73F87ABC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01258"/>
    <w:multiLevelType w:val="hybridMultilevel"/>
    <w:tmpl w:val="27264BC2"/>
    <w:lvl w:ilvl="0" w:tplc="1D6E5F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3A1C6F"/>
    <w:multiLevelType w:val="hybridMultilevel"/>
    <w:tmpl w:val="28D6F22A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D504BDA"/>
    <w:multiLevelType w:val="multilevel"/>
    <w:tmpl w:val="15FCE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BE76BA"/>
    <w:multiLevelType w:val="hybridMultilevel"/>
    <w:tmpl w:val="139C9B0A"/>
    <w:lvl w:ilvl="0" w:tplc="66704EE4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6CA3BB0"/>
    <w:multiLevelType w:val="hybridMultilevel"/>
    <w:tmpl w:val="013A8E5E"/>
    <w:lvl w:ilvl="0" w:tplc="7DF6D222">
      <w:start w:val="1"/>
      <w:numFmt w:val="decimal"/>
      <w:suff w:val="space"/>
      <w:lvlText w:val="%1."/>
      <w:lvlJc w:val="left"/>
      <w:pPr>
        <w:ind w:left="720" w:hanging="360"/>
      </w:pPr>
      <w:rPr>
        <w:rFonts w:cstheme="minorHAnsi" w:hint="default"/>
        <w:b w:val="0"/>
        <w:sz w:val="10"/>
        <w:szCs w:val="1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A1168"/>
    <w:multiLevelType w:val="hybridMultilevel"/>
    <w:tmpl w:val="8D3A7014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A895F87"/>
    <w:multiLevelType w:val="hybridMultilevel"/>
    <w:tmpl w:val="2D0C8116"/>
    <w:lvl w:ilvl="0" w:tplc="F1B4084E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D593EF0"/>
    <w:multiLevelType w:val="hybridMultilevel"/>
    <w:tmpl w:val="B27CC9A6"/>
    <w:lvl w:ilvl="0" w:tplc="CCF08A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5700A"/>
    <w:multiLevelType w:val="multilevel"/>
    <w:tmpl w:val="4170D35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A53A0"/>
    <w:multiLevelType w:val="hybridMultilevel"/>
    <w:tmpl w:val="69EAA0A2"/>
    <w:lvl w:ilvl="0" w:tplc="FB243414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838A8"/>
    <w:multiLevelType w:val="hybridMultilevel"/>
    <w:tmpl w:val="649AC8D4"/>
    <w:lvl w:ilvl="0" w:tplc="8DC8AA72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2"/>
  </w:num>
  <w:num w:numId="7">
    <w:abstractNumId w:val="17"/>
  </w:num>
  <w:num w:numId="8">
    <w:abstractNumId w:val="21"/>
  </w:num>
  <w:num w:numId="9">
    <w:abstractNumId w:val="7"/>
  </w:num>
  <w:num w:numId="10">
    <w:abstractNumId w:val="19"/>
  </w:num>
  <w:num w:numId="11">
    <w:abstractNumId w:val="25"/>
  </w:num>
  <w:num w:numId="12">
    <w:abstractNumId w:val="15"/>
  </w:num>
  <w:num w:numId="13">
    <w:abstractNumId w:val="10"/>
  </w:num>
  <w:num w:numId="14">
    <w:abstractNumId w:val="1"/>
  </w:num>
  <w:num w:numId="15">
    <w:abstractNumId w:val="22"/>
  </w:num>
  <w:num w:numId="16">
    <w:abstractNumId w:val="23"/>
  </w:num>
  <w:num w:numId="17">
    <w:abstractNumId w:val="3"/>
  </w:num>
  <w:num w:numId="18">
    <w:abstractNumId w:val="8"/>
  </w:num>
  <w:num w:numId="19">
    <w:abstractNumId w:val="16"/>
  </w:num>
  <w:num w:numId="20">
    <w:abstractNumId w:val="14"/>
  </w:num>
  <w:num w:numId="21">
    <w:abstractNumId w:val="9"/>
  </w:num>
  <w:num w:numId="22">
    <w:abstractNumId w:val="18"/>
  </w:num>
  <w:num w:numId="23">
    <w:abstractNumId w:val="4"/>
  </w:num>
  <w:num w:numId="24">
    <w:abstractNumId w:val="24"/>
  </w:num>
  <w:num w:numId="25">
    <w:abstractNumId w:val="13"/>
  </w:num>
  <w:num w:numId="26">
    <w:abstractNumId w:val="2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FC"/>
    <w:rsid w:val="001659D9"/>
    <w:rsid w:val="001D346D"/>
    <w:rsid w:val="002575CE"/>
    <w:rsid w:val="00277554"/>
    <w:rsid w:val="003E7BF1"/>
    <w:rsid w:val="004A7D3F"/>
    <w:rsid w:val="004B61AC"/>
    <w:rsid w:val="0051593F"/>
    <w:rsid w:val="006113B9"/>
    <w:rsid w:val="0064397C"/>
    <w:rsid w:val="007C736D"/>
    <w:rsid w:val="007E0894"/>
    <w:rsid w:val="00867386"/>
    <w:rsid w:val="00946A12"/>
    <w:rsid w:val="00A76959"/>
    <w:rsid w:val="00AF2C38"/>
    <w:rsid w:val="00B61C65"/>
    <w:rsid w:val="00B9710A"/>
    <w:rsid w:val="00C5308E"/>
    <w:rsid w:val="00CC70D3"/>
    <w:rsid w:val="00D84F07"/>
    <w:rsid w:val="00DC0412"/>
    <w:rsid w:val="00DC6DF9"/>
    <w:rsid w:val="00E5537A"/>
    <w:rsid w:val="00E86DCE"/>
    <w:rsid w:val="00EF1D71"/>
    <w:rsid w:val="00F129FC"/>
    <w:rsid w:val="00F1733C"/>
    <w:rsid w:val="00F25EBE"/>
    <w:rsid w:val="00FB17A1"/>
    <w:rsid w:val="00FB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F036"/>
  <w15:chartTrackingRefBased/>
  <w15:docId w15:val="{454523DE-758E-4D62-BD8F-DACC1AD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29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3B9"/>
    <w:pPr>
      <w:spacing w:after="160" w:line="259" w:lineRule="auto"/>
      <w:ind w:left="720"/>
      <w:contextualSpacing/>
    </w:pPr>
  </w:style>
  <w:style w:type="character" w:styleId="a5">
    <w:name w:val="Hyperlink"/>
    <w:basedOn w:val="a0"/>
    <w:rsid w:val="00F25EBE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graphyofrussia.com/litosfera/" TargetMode="External"/><Relationship Id="rId13" Type="http://schemas.openxmlformats.org/officeDocument/2006/relationships/hyperlink" Target="https://geographyofrussia.com/lesnye-pozh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graphyofrussia.com/eroziya/" TargetMode="External"/><Relationship Id="rId12" Type="http://schemas.openxmlformats.org/officeDocument/2006/relationships/hyperlink" Target="https://geographyofrussia.com/ozonosfe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graphyofrussia.com/prirodopolzovanie/" TargetMode="External"/><Relationship Id="rId11" Type="http://schemas.openxmlformats.org/officeDocument/2006/relationships/hyperlink" Target="https://geographyofrussia.com/pesticidy-v-pochvax/" TargetMode="External"/><Relationship Id="rId5" Type="http://schemas.openxmlformats.org/officeDocument/2006/relationships/hyperlink" Target="https://geographyofrussia.com/razvitye-stran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ographyofrussia.com/atmosf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ographyofrussia.com/gidrosfe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1960</Words>
  <Characters>13371</Characters>
  <Application>Microsoft Office Word</Application>
  <DocSecurity>0</DocSecurity>
  <Lines>393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Трошко Валерия</dc:creator>
  <cp:keywords/>
  <dc:description/>
  <cp:lastModifiedBy>Трошко Валерия</cp:lastModifiedBy>
  <cp:revision>5</cp:revision>
  <cp:lastPrinted>2022-01-04T11:03:00Z</cp:lastPrinted>
  <dcterms:created xsi:type="dcterms:W3CDTF">2022-01-04T15:55:00Z</dcterms:created>
  <dcterms:modified xsi:type="dcterms:W3CDTF">2022-01-04T20:35:00Z</dcterms:modified>
</cp:coreProperties>
</file>