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FB2B5C" w:rsidRPr="00D3412F" w14:paraId="0FAFFB60" w14:textId="77777777" w:rsidTr="007C736D">
        <w:trPr>
          <w:trHeight w:val="3345"/>
        </w:trPr>
        <w:tc>
          <w:tcPr>
            <w:tcW w:w="2608" w:type="dxa"/>
          </w:tcPr>
          <w:p w14:paraId="1F65C89A" w14:textId="77777777" w:rsidR="00FB2B5C" w:rsidRPr="00E82BB6" w:rsidRDefault="00FB2B5C" w:rsidP="00FB2B5C">
            <w:pPr>
              <w:spacing w:before="60"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Осуществлять контроль за соблюдением законодательства об ОТ работников</w:t>
            </w:r>
          </w:p>
          <w:p w14:paraId="1ECD7D36" w14:textId="77777777" w:rsidR="00FB2B5C" w:rsidRPr="00E82BB6" w:rsidRDefault="00FB2B5C" w:rsidP="00FB2B5C">
            <w:pPr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- Не допускать к работе работника, не прошедшего инструктаж, стажировку и проверку знаний по вопросам охраны труда, не использующего средства индивидуальной защиты, не прошедшего медицинский осмотр, в случаях и порядке, предусмотренных законодательством.</w:t>
            </w:r>
          </w:p>
          <w:p w14:paraId="1649DB85" w14:textId="4C493C1C" w:rsidR="00FB2B5C" w:rsidRPr="00757F78" w:rsidRDefault="00FB2B5C" w:rsidP="00FB2B5C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- Осуществлять контроль за уровнями и концентрациями вредных производственных факторов</w:t>
            </w:r>
          </w:p>
        </w:tc>
        <w:tc>
          <w:tcPr>
            <w:tcW w:w="2608" w:type="dxa"/>
          </w:tcPr>
          <w:p w14:paraId="47277B70" w14:textId="0148308D" w:rsidR="00FB2B5C" w:rsidRPr="00D3412F" w:rsidRDefault="00FB2B5C" w:rsidP="00FB2B5C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- Немедленно сообщать работодателю о любой ситуации, угрожающей жизни или здоровью работающих и окружающих; несчастном случае, произошедшем на производстве; оказывать содействие работодателю в принятии мер по оказанию необходимой помощи потерпевшим и доставке их в организацию здравоохранения</w:t>
            </w:r>
          </w:p>
        </w:tc>
        <w:tc>
          <w:tcPr>
            <w:tcW w:w="2608" w:type="dxa"/>
          </w:tcPr>
          <w:p w14:paraId="42F4F952" w14:textId="77777777" w:rsidR="00FB2B5C" w:rsidRPr="0033749F" w:rsidRDefault="00FB2B5C" w:rsidP="00FB2B5C">
            <w:pPr>
              <w:pStyle w:val="a4"/>
              <w:spacing w:before="60"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F2EB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окружающих до устранения этой опасности, а также при не предоставлении ему средств индивидуальной защиты, непосредственно обеспечивающих безопасность </w:t>
            </w:r>
            <w:proofErr w:type="gramStart"/>
            <w:r w:rsidRPr="002F2EB7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труда</w:t>
            </w: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Для</w:t>
            </w:r>
            <w:proofErr w:type="gramEnd"/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реализации права работающих на ОТ, государство осуществляет государственное управление ОТ, государственный надзор и контроль за соблюдением законодательства об ОТ и устанавливает ответственность за нарушение законодательства об ОТ.</w:t>
            </w:r>
          </w:p>
          <w:p w14:paraId="1B73072E" w14:textId="4B0D8825" w:rsidR="00FB2B5C" w:rsidRPr="0046790D" w:rsidRDefault="00FB2B5C" w:rsidP="00FB2B5C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3749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При отказе работающего от выполнения порученной работы должна быть предоставлена другая работа, соответствующая его квалификации, либо, с его согласия, работа с оплатой не ниже среднего заработка по прежней работе на срок до одного месяца. При необходимости работодатель обязан за счет собственных средств обеспечить обучение работающего новой профессии (специальности) с сохранением ему на период переподготовки среднего заработка.</w:t>
            </w:r>
          </w:p>
        </w:tc>
        <w:tc>
          <w:tcPr>
            <w:tcW w:w="2608" w:type="dxa"/>
          </w:tcPr>
          <w:p w14:paraId="58CDC969" w14:textId="52695FF4" w:rsidR="00FB2B5C" w:rsidRPr="00757F78" w:rsidRDefault="00FB2B5C" w:rsidP="00FB2B5C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14:paraId="20EBFFE3" w14:textId="77777777" w:rsidR="00FB2B5C" w:rsidRPr="003516FB" w:rsidRDefault="00FB2B5C" w:rsidP="00FB2B5C">
            <w:pPr>
              <w:pStyle w:val="a4"/>
              <w:spacing w:before="60" w:after="0" w:line="240" w:lineRule="auto"/>
              <w:ind w:left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Уголовная ответственность</w:t>
            </w: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: привлекаются должностные лица за нарушение правил охраны труда и пожарной безопасности, повлекшие по неосторожности профессиональное заболевание, причинение тяжкого телесного повреждения, смерть человека.</w:t>
            </w:r>
          </w:p>
          <w:p w14:paraId="18C463B6" w14:textId="77777777" w:rsidR="00FB2B5C" w:rsidRPr="003516FB" w:rsidRDefault="00FB2B5C" w:rsidP="00FB2B5C">
            <w:pPr>
              <w:pStyle w:val="a4"/>
              <w:spacing w:after="0" w:line="240" w:lineRule="auto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Должностное лицо, в зависимости от тяжести последствия допущенного нарушения, наказывается лишением свободы, исправительными работами, штрафом или увольнением с должности. Меру наказания за уголовно наказуемые деяние определяет суд.</w:t>
            </w:r>
          </w:p>
          <w:p w14:paraId="4131F217" w14:textId="77777777" w:rsidR="00FB2B5C" w:rsidRPr="003516FB" w:rsidRDefault="00FB2B5C" w:rsidP="00FB2B5C">
            <w:pPr>
              <w:pStyle w:val="a4"/>
              <w:numPr>
                <w:ilvl w:val="0"/>
                <w:numId w:val="38"/>
              </w:numPr>
              <w:spacing w:after="0" w:line="240" w:lineRule="auto"/>
              <w:ind w:left="0" w:firstLine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нарушение правил ОТ должностным лицом, ответственным за их соблюдение, повлекшее по неосторожности профессиональное заболевание либо причинения тяжкого телесного повреждения – штраф или исправительные работы на срок до 2 лет, или ограничение свободы на срок до 3 лет, или лишение свободы на тот же срок с лишением права заниматься определенной деятельностью или без лишения.</w:t>
            </w:r>
          </w:p>
          <w:p w14:paraId="3421464E" w14:textId="77777777" w:rsidR="00FB2B5C" w:rsidRDefault="00FB2B5C" w:rsidP="00FB2B5C">
            <w:pPr>
              <w:pStyle w:val="a4"/>
              <w:numPr>
                <w:ilvl w:val="0"/>
                <w:numId w:val="38"/>
              </w:numPr>
              <w:spacing w:after="0"/>
              <w:ind w:left="0" w:firstLine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нарушение правил ОТ, повлекшее по неосторожности смерть человека либо причинение тяжкого телесного повреждения двум и более лицам</w:t>
            </w:r>
          </w:p>
          <w:p w14:paraId="07EFE53C" w14:textId="7B92F207" w:rsidR="00FB2B5C" w:rsidRPr="00757F78" w:rsidRDefault="00FB2B5C" w:rsidP="00FB2B5C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ограничение свободы на срок до 5 лет или лишение свободы на тот же срок с лишением права занимать определенные должности или</w:t>
            </w:r>
          </w:p>
        </w:tc>
        <w:tc>
          <w:tcPr>
            <w:tcW w:w="2608" w:type="dxa"/>
          </w:tcPr>
          <w:p w14:paraId="3A49959A" w14:textId="77777777" w:rsidR="00FB2B5C" w:rsidRPr="003516FB" w:rsidRDefault="00FB2B5C" w:rsidP="00FB2B5C">
            <w:pPr>
              <w:pStyle w:val="a4"/>
              <w:numPr>
                <w:ilvl w:val="0"/>
                <w:numId w:val="37"/>
              </w:numPr>
              <w:spacing w:before="60" w:after="0"/>
              <w:ind w:left="0" w:firstLine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Комплексное решение задач обеспечения здоровых и безопасных условий труда с учетом других направлений социальной и экономической политики, достижений в области науки, техники, технологий и охраны окружающей среды</w:t>
            </w:r>
          </w:p>
          <w:p w14:paraId="33FD16BA" w14:textId="77777777" w:rsidR="00FB2B5C" w:rsidRPr="003516FB" w:rsidRDefault="00FB2B5C" w:rsidP="00FB2B5C">
            <w:pPr>
              <w:pStyle w:val="a4"/>
              <w:numPr>
                <w:ilvl w:val="0"/>
                <w:numId w:val="37"/>
              </w:numPr>
              <w:spacing w:after="0"/>
              <w:ind w:left="0" w:firstLine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Обеспечение социально-экономической защиты прав работников в области охраны труда, в том числе потерпевших на производстве, а также членов их семей на основе обязательного социального страхования от несчастных случаев на производстве, профессиональных заболеваний, установление компенсаций за тяжелую работу с вредными и (или) опасными условиями труда</w:t>
            </w:r>
          </w:p>
          <w:p w14:paraId="0F5DB8FC" w14:textId="77777777" w:rsidR="00FB2B5C" w:rsidRPr="003516FB" w:rsidRDefault="00FB2B5C" w:rsidP="00FB2B5C">
            <w:pPr>
              <w:pStyle w:val="a4"/>
              <w:numPr>
                <w:ilvl w:val="0"/>
                <w:numId w:val="37"/>
              </w:numPr>
              <w:spacing w:after="0"/>
              <w:ind w:left="0" w:firstLine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Подготовка специалистов, обучение и повышение квалификации работников по вопросам ОТ</w:t>
            </w:r>
          </w:p>
          <w:p w14:paraId="7E67B7D5" w14:textId="77777777" w:rsidR="00FB2B5C" w:rsidRDefault="00FB2B5C" w:rsidP="00FB2B5C">
            <w:pPr>
              <w:pStyle w:val="a4"/>
              <w:numPr>
                <w:ilvl w:val="0"/>
                <w:numId w:val="37"/>
              </w:numPr>
              <w:spacing w:after="0"/>
              <w:ind w:left="0" w:firstLine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516F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Организация государственной статистической отчетности, создание системы информации и мониторинга о состоянии условий и ОТ</w:t>
            </w:r>
          </w:p>
          <w:p w14:paraId="736BF557" w14:textId="3442B6B3" w:rsidR="00FB2B5C" w:rsidRPr="00BE412A" w:rsidRDefault="00FB2B5C" w:rsidP="00FB2B5C">
            <w:pPr>
              <w:pStyle w:val="a4"/>
              <w:numPr>
                <w:ilvl w:val="0"/>
                <w:numId w:val="37"/>
              </w:numPr>
              <w:spacing w:after="0"/>
              <w:ind w:left="0" w:firstLine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BE412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Международное сотрудничество в области охраны труда</w:t>
            </w:r>
          </w:p>
        </w:tc>
      </w:tr>
      <w:tr w:rsidR="00F34030" w:rsidRPr="007A63F4" w14:paraId="3226FDAC" w14:textId="77777777" w:rsidTr="007C736D">
        <w:trPr>
          <w:trHeight w:val="3345"/>
        </w:trPr>
        <w:tc>
          <w:tcPr>
            <w:tcW w:w="2608" w:type="dxa"/>
          </w:tcPr>
          <w:p w14:paraId="1AB3055D" w14:textId="77777777" w:rsidR="00F34030" w:rsidRPr="001D117A" w:rsidRDefault="00F34030" w:rsidP="00F34030">
            <w:pPr>
              <w:pStyle w:val="a4"/>
              <w:spacing w:before="60" w:after="0"/>
              <w:ind w:left="0"/>
              <w:contextualSpacing w:val="0"/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Методы борьбы с шумом и вибрацией:</w:t>
            </w:r>
          </w:p>
          <w:p w14:paraId="60E17E4D" w14:textId="77777777" w:rsidR="00F34030" w:rsidRPr="001D117A" w:rsidRDefault="00F34030" w:rsidP="00D80787">
            <w:pPr>
              <w:pStyle w:val="a4"/>
              <w:numPr>
                <w:ilvl w:val="0"/>
                <w:numId w:val="43"/>
              </w:numPr>
              <w:spacing w:after="0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Уменьшение шума и вибрации в источнике их образования</w:t>
            </w:r>
          </w:p>
          <w:p w14:paraId="45B72EAF" w14:textId="77777777" w:rsidR="00F34030" w:rsidRPr="001D117A" w:rsidRDefault="00F34030" w:rsidP="00D80787">
            <w:pPr>
              <w:pStyle w:val="a4"/>
              <w:numPr>
                <w:ilvl w:val="0"/>
                <w:numId w:val="43"/>
              </w:numPr>
              <w:spacing w:after="0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Архитектурно-планировочные решения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, предусматривающие рациональное размещений технологического оборудования, машин, механизмов, акустическая обработка помещений</w:t>
            </w:r>
          </w:p>
          <w:p w14:paraId="1F86B9D5" w14:textId="77777777" w:rsidR="00F34030" w:rsidRPr="001D117A" w:rsidRDefault="00F34030" w:rsidP="00D80787">
            <w:pPr>
              <w:pStyle w:val="a4"/>
              <w:numPr>
                <w:ilvl w:val="0"/>
                <w:numId w:val="43"/>
              </w:numPr>
              <w:spacing w:after="0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Изоляция источников шума и вибрации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средствами звукоизоляции и виброизоляции, звукопоглощения и </w:t>
            </w:r>
            <w:proofErr w:type="spellStart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вибропоглощения</w:t>
            </w:r>
            <w:proofErr w:type="spellEnd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</w:p>
          <w:p w14:paraId="0E93D415" w14:textId="77777777" w:rsidR="00F34030" w:rsidRPr="001D117A" w:rsidRDefault="00F34030" w:rsidP="00D80787">
            <w:pPr>
              <w:pStyle w:val="a4"/>
              <w:numPr>
                <w:ilvl w:val="0"/>
                <w:numId w:val="43"/>
              </w:numPr>
              <w:spacing w:after="0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Применение средств индивидуальной защиты</w:t>
            </w:r>
          </w:p>
          <w:p w14:paraId="583BE9D7" w14:textId="77777777" w:rsidR="00F34030" w:rsidRPr="001D117A" w:rsidRDefault="00F34030" w:rsidP="00D80787">
            <w:pPr>
              <w:pStyle w:val="a4"/>
              <w:numPr>
                <w:ilvl w:val="1"/>
                <w:numId w:val="43"/>
              </w:numPr>
              <w:spacing w:after="0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Противошумные вкладыши, наушники</w:t>
            </w:r>
          </w:p>
          <w:p w14:paraId="0D86D080" w14:textId="5ED8B378" w:rsidR="00F34030" w:rsidRPr="001D117A" w:rsidRDefault="00F34030" w:rsidP="00D80787">
            <w:pPr>
              <w:pStyle w:val="a4"/>
              <w:numPr>
                <w:ilvl w:val="1"/>
                <w:numId w:val="43"/>
              </w:numPr>
              <w:spacing w:after="0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proofErr w:type="gramStart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Специальные перчатки</w:t>
            </w:r>
            <w:proofErr w:type="gramEnd"/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поглощающие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вибрацию</w:t>
            </w:r>
          </w:p>
          <w:p w14:paraId="3EAF4579" w14:textId="07F9677D" w:rsidR="00F34030" w:rsidRPr="00F34030" w:rsidRDefault="00F34030" w:rsidP="00D80787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Обувь на резиновой основе</w:t>
            </w:r>
          </w:p>
        </w:tc>
        <w:tc>
          <w:tcPr>
            <w:tcW w:w="2608" w:type="dxa"/>
          </w:tcPr>
          <w:p w14:paraId="1D2B6C48" w14:textId="77777777" w:rsidR="00F34030" w:rsidRPr="00373AF9" w:rsidRDefault="00F34030" w:rsidP="00F34030">
            <w:pPr>
              <w:spacing w:before="60" w:after="0" w:line="240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373AF9">
              <w:rPr>
                <w:rFonts w:ascii="Arial" w:hAnsi="Arial" w:cs="Arial"/>
                <w:b/>
                <w:sz w:val="10"/>
                <w:szCs w:val="10"/>
              </w:rPr>
              <w:t>Нормирование освещения</w:t>
            </w:r>
          </w:p>
          <w:p w14:paraId="25E5C8D8" w14:textId="77777777" w:rsidR="00F34030" w:rsidRPr="00373AF9" w:rsidRDefault="00F34030" w:rsidP="00F34030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  <w:u w:val="single"/>
              </w:rPr>
              <w:t>Коэффициент естественной освещенности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 (КЕО) – это отношение естественной освещенности, создаваемой в некоторой точке заданной плоскости внутри помещения светом неба Е</w:t>
            </w:r>
            <w:r w:rsidRPr="00373AF9">
              <w:rPr>
                <w:rFonts w:ascii="Arial" w:hAnsi="Arial" w:cs="Arial"/>
                <w:sz w:val="10"/>
                <w:szCs w:val="10"/>
                <w:vertAlign w:val="subscript"/>
              </w:rPr>
              <w:t>ВН</w:t>
            </w:r>
            <w:r w:rsidRPr="00373AF9">
              <w:rPr>
                <w:rFonts w:ascii="Arial" w:hAnsi="Arial" w:cs="Arial"/>
                <w:sz w:val="10"/>
                <w:szCs w:val="10"/>
              </w:rPr>
              <w:t>, к одновременному значению наружной горизонтальной освещенности Е</w:t>
            </w:r>
            <w:r w:rsidRPr="00373AF9">
              <w:rPr>
                <w:rFonts w:ascii="Arial" w:hAnsi="Arial" w:cs="Arial"/>
                <w:sz w:val="10"/>
                <w:szCs w:val="10"/>
                <w:vertAlign w:val="subscript"/>
              </w:rPr>
              <w:t>НАР</w:t>
            </w:r>
            <w:r w:rsidRPr="00373AF9">
              <w:rPr>
                <w:rFonts w:ascii="Arial" w:hAnsi="Arial" w:cs="Arial"/>
                <w:sz w:val="10"/>
                <w:szCs w:val="10"/>
              </w:rPr>
              <w:t>, создаваемой светом полностью открытого небосвода, выраженное в процентах:</w:t>
            </w:r>
          </w:p>
          <w:p w14:paraId="7B56D344" w14:textId="77777777" w:rsidR="00F34030" w:rsidRPr="00373AF9" w:rsidRDefault="00F34030" w:rsidP="00F34030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m:oMathPara>
              <m:oMath>
                <m:r>
                  <w:rPr>
                    <w:rFonts w:ascii="Cambria Math" w:hAnsi="Cambria Math" w:cs="Arial"/>
                    <w:sz w:val="10"/>
                    <w:szCs w:val="10"/>
                    <w:lang w:val="en-US"/>
                  </w:rPr>
                  <m:t>КЕО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0"/>
                        <w:szCs w:val="1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0"/>
                        <w:szCs w:val="10"/>
                        <w:lang w:val="en-US"/>
                      </w:rPr>
                      <m:t>е</m:t>
                    </m:r>
                  </m:e>
                </m:d>
                <m:r>
                  <w:rPr>
                    <w:rFonts w:ascii="Cambria Math" w:hAnsi="Cambria Math" w:cs="Arial"/>
                    <w:sz w:val="10"/>
                    <w:szCs w:val="1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0"/>
                        <w:szCs w:val="1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0"/>
                            <w:szCs w:val="10"/>
                            <w:lang w:val="en-US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0"/>
                            <w:szCs w:val="10"/>
                            <w:lang w:val="en-US"/>
                          </w:rPr>
                          <m:t>ВН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10"/>
                        <w:szCs w:val="10"/>
                        <w:lang w:val="en-U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0"/>
                            <w:szCs w:val="1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0"/>
                            <w:szCs w:val="10"/>
                            <w:lang w:val="en-US"/>
                          </w:rPr>
                          <m:t>Е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0"/>
                            <w:szCs w:val="10"/>
                            <w:lang w:val="en-US"/>
                          </w:rPr>
                          <m:t>НАР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0"/>
                    <w:szCs w:val="10"/>
                    <w:lang w:val="en-US"/>
                  </w:rPr>
                  <m:t>×100%</m:t>
                </m:r>
              </m:oMath>
            </m:oMathPara>
          </w:p>
          <w:p w14:paraId="097BFD62" w14:textId="4CF3DEE0" w:rsidR="00F34030" w:rsidRPr="00D22FDA" w:rsidRDefault="00F34030" w:rsidP="00F34030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373AF9">
              <w:rPr>
                <w:rFonts w:ascii="Arial" w:hAnsi="Arial" w:cs="Arial"/>
                <w:i/>
                <w:sz w:val="10"/>
                <w:szCs w:val="10"/>
                <w:u w:val="single"/>
              </w:rPr>
              <w:t>Источники искусственного света</w:t>
            </w:r>
            <w:r w:rsidRPr="00373AF9">
              <w:rPr>
                <w:rFonts w:ascii="Arial" w:hAnsi="Arial" w:cs="Arial"/>
                <w:sz w:val="10"/>
                <w:szCs w:val="10"/>
              </w:rPr>
              <w:t xml:space="preserve">: лампы накаливания, галогенные ламы, газоразрядные лампы (высокого давления и низкого давления - </w:t>
            </w:r>
            <w:r w:rsidRPr="00373AF9">
              <w:rPr>
                <w:rFonts w:ascii="Arial" w:hAnsi="Arial" w:cs="Arial"/>
                <w:i/>
                <w:sz w:val="10"/>
                <w:szCs w:val="10"/>
              </w:rPr>
              <w:t>люминесцентные</w:t>
            </w:r>
            <w:r w:rsidRPr="00373AF9">
              <w:rPr>
                <w:rFonts w:ascii="Arial" w:hAnsi="Arial" w:cs="Arial"/>
                <w:sz w:val="10"/>
                <w:szCs w:val="10"/>
              </w:rPr>
              <w:t>).</w:t>
            </w:r>
          </w:p>
        </w:tc>
        <w:tc>
          <w:tcPr>
            <w:tcW w:w="2608" w:type="dxa"/>
          </w:tcPr>
          <w:p w14:paraId="5E0FD603" w14:textId="77777777" w:rsidR="00F34030" w:rsidRPr="00EF77C7" w:rsidRDefault="00F34030" w:rsidP="00F34030">
            <w:pPr>
              <w:numPr>
                <w:ilvl w:val="0"/>
                <w:numId w:val="40"/>
              </w:numPr>
              <w:spacing w:before="60"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</w:rPr>
              <w:t>раздражающее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- свойство пыли некоторых веществ вызывать раздражение слизистых оболочек дыхательных путей, которое сопровождается чиханием, кашлем.</w:t>
            </w:r>
          </w:p>
          <w:p w14:paraId="20922142" w14:textId="77777777" w:rsidR="00F34030" w:rsidRPr="00EF77C7" w:rsidRDefault="00F34030" w:rsidP="00F34030">
            <w:pPr>
              <w:spacing w:after="0" w:line="216" w:lineRule="auto"/>
              <w:jc w:val="both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proofErr w:type="spellStart"/>
            <w:r w:rsidRPr="00EF77C7">
              <w:rPr>
                <w:rFonts w:ascii="Arial" w:hAnsi="Arial" w:cs="Arial"/>
                <w:b/>
                <w:sz w:val="10"/>
                <w:szCs w:val="10"/>
                <w:lang w:val="en-US"/>
              </w:rPr>
              <w:t>Заболевания</w:t>
            </w:r>
            <w:proofErr w:type="spellEnd"/>
            <w:r w:rsidRPr="00EF77C7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EF77C7">
              <w:rPr>
                <w:rFonts w:ascii="Arial" w:hAnsi="Arial" w:cs="Arial"/>
                <w:b/>
                <w:sz w:val="10"/>
                <w:szCs w:val="10"/>
                <w:lang w:val="en-US"/>
              </w:rPr>
              <w:t>вызванные</w:t>
            </w:r>
            <w:proofErr w:type="spellEnd"/>
            <w:r w:rsidRPr="00EF77C7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EF77C7">
              <w:rPr>
                <w:rFonts w:ascii="Arial" w:hAnsi="Arial" w:cs="Arial"/>
                <w:b/>
                <w:sz w:val="10"/>
                <w:szCs w:val="10"/>
                <w:lang w:val="en-US"/>
              </w:rPr>
              <w:t>воздействием</w:t>
            </w:r>
            <w:proofErr w:type="spellEnd"/>
            <w:r w:rsidRPr="00EF77C7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EF77C7">
              <w:rPr>
                <w:rFonts w:ascii="Arial" w:hAnsi="Arial" w:cs="Arial"/>
                <w:b/>
                <w:sz w:val="10"/>
                <w:szCs w:val="10"/>
                <w:lang w:val="en-US"/>
              </w:rPr>
              <w:t>пыли</w:t>
            </w:r>
            <w:proofErr w:type="spellEnd"/>
            <w:r w:rsidRPr="00EF77C7">
              <w:rPr>
                <w:rFonts w:ascii="Arial" w:hAnsi="Arial" w:cs="Arial"/>
                <w:b/>
                <w:sz w:val="10"/>
                <w:szCs w:val="10"/>
                <w:lang w:val="en-US"/>
              </w:rPr>
              <w:t>:</w:t>
            </w:r>
          </w:p>
          <w:p w14:paraId="2112B799" w14:textId="77777777" w:rsidR="00F34030" w:rsidRPr="00EF77C7" w:rsidRDefault="00F34030" w:rsidP="00F34030">
            <w:pPr>
              <w:numPr>
                <w:ilvl w:val="0"/>
                <w:numId w:val="42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i/>
                <w:sz w:val="10"/>
                <w:szCs w:val="10"/>
              </w:rPr>
              <w:t>пневмокониозы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: силикоз – при вдыхании кварцевой пыли; </w:t>
            </w: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асбестоз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 xml:space="preserve"> – </w:t>
            </w: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абестовой</w:t>
            </w:r>
            <w:proofErr w:type="spellEnd"/>
          </w:p>
          <w:p w14:paraId="661A1B28" w14:textId="77777777" w:rsidR="00F34030" w:rsidRPr="00EF77C7" w:rsidRDefault="00F34030" w:rsidP="00F34030">
            <w:pPr>
              <w:numPr>
                <w:ilvl w:val="0"/>
                <w:numId w:val="42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 xml:space="preserve">заболевания </w:t>
            </w:r>
            <w:r w:rsidRPr="00EF77C7">
              <w:rPr>
                <w:rFonts w:ascii="Arial" w:hAnsi="Arial" w:cs="Arial"/>
                <w:i/>
                <w:sz w:val="10"/>
                <w:szCs w:val="10"/>
              </w:rPr>
              <w:t>глаз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(конъюнктивит)</w:t>
            </w:r>
          </w:p>
          <w:p w14:paraId="1290BEAD" w14:textId="77777777" w:rsidR="00F34030" w:rsidRPr="00EF77C7" w:rsidRDefault="00F34030" w:rsidP="00F34030">
            <w:pPr>
              <w:numPr>
                <w:ilvl w:val="0"/>
                <w:numId w:val="42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 xml:space="preserve">заболевания </w:t>
            </w:r>
            <w:r w:rsidRPr="00EF77C7">
              <w:rPr>
                <w:rFonts w:ascii="Arial" w:hAnsi="Arial" w:cs="Arial"/>
                <w:i/>
                <w:sz w:val="10"/>
                <w:szCs w:val="10"/>
              </w:rPr>
              <w:t>кожи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(асбестовые бородавки, фурункулез)</w:t>
            </w:r>
          </w:p>
          <w:p w14:paraId="55EFB0F6" w14:textId="77777777" w:rsidR="00F34030" w:rsidRPr="00EF77C7" w:rsidRDefault="00F34030" w:rsidP="00F34030">
            <w:pPr>
              <w:numPr>
                <w:ilvl w:val="0"/>
                <w:numId w:val="42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 xml:space="preserve">заболевания </w:t>
            </w:r>
            <w:r w:rsidRPr="00EF77C7">
              <w:rPr>
                <w:rFonts w:ascii="Arial" w:hAnsi="Arial" w:cs="Arial"/>
                <w:i/>
                <w:sz w:val="10"/>
                <w:szCs w:val="10"/>
              </w:rPr>
              <w:t>дыхательных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EF77C7">
              <w:rPr>
                <w:rFonts w:ascii="Arial" w:hAnsi="Arial" w:cs="Arial"/>
                <w:i/>
                <w:sz w:val="10"/>
                <w:szCs w:val="10"/>
              </w:rPr>
              <w:t>путей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(туберкулез легких, пневмония)</w:t>
            </w:r>
          </w:p>
          <w:p w14:paraId="6764BD75" w14:textId="77777777" w:rsidR="00F34030" w:rsidRPr="00EF77C7" w:rsidRDefault="00F34030" w:rsidP="00F34030">
            <w:pPr>
              <w:spacing w:after="0" w:line="216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Мероприятия по профилактике заболеваний, возникающих при воздействии пыли:</w:t>
            </w:r>
          </w:p>
          <w:p w14:paraId="1EC52785" w14:textId="77777777" w:rsidR="00F34030" w:rsidRPr="00EF77C7" w:rsidRDefault="00F34030" w:rsidP="00F34030">
            <w:pPr>
              <w:numPr>
                <w:ilvl w:val="0"/>
                <w:numId w:val="41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  <w:u w:val="single"/>
              </w:rPr>
              <w:t>Технические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мероприятия направлены на полную ликвидацию пылеобразования. К ним относятся: применение дробления, размола, смешивание п</w:t>
            </w:r>
            <w:bookmarkStart w:id="0" w:name="_GoBack"/>
            <w:bookmarkEnd w:id="0"/>
            <w:r w:rsidRPr="00EF77C7">
              <w:rPr>
                <w:rFonts w:ascii="Arial" w:hAnsi="Arial" w:cs="Arial"/>
                <w:sz w:val="10"/>
                <w:szCs w:val="10"/>
              </w:rPr>
              <w:t>ылеобразующих материалов с применением увлажнения.</w:t>
            </w:r>
          </w:p>
          <w:p w14:paraId="0C89D004" w14:textId="77777777" w:rsidR="00F34030" w:rsidRPr="00EF77C7" w:rsidRDefault="00F34030" w:rsidP="00F34030">
            <w:pPr>
              <w:numPr>
                <w:ilvl w:val="0"/>
                <w:numId w:val="41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  <w:u w:val="single"/>
              </w:rPr>
              <w:t>Санитарно-технические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мероприятия включают в себя подавление пылеобразования, применение местных отсосов пыли и вентиляционные системы с последующей очисткой воздуха в пылеулавливающих аппаратах.</w:t>
            </w:r>
          </w:p>
          <w:p w14:paraId="168B6BEF" w14:textId="1DFDF3DC" w:rsidR="00F34030" w:rsidRPr="00D22FDA" w:rsidRDefault="00F34030" w:rsidP="00F34030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sz w:val="10"/>
                <w:szCs w:val="10"/>
                <w:u w:val="single"/>
              </w:rPr>
              <w:t xml:space="preserve"> Медико-профилактические</w:t>
            </w:r>
            <w:r w:rsidRPr="00EF77C7">
              <w:rPr>
                <w:rFonts w:ascii="Arial" w:hAnsi="Arial" w:cs="Arial"/>
                <w:sz w:val="10"/>
                <w:szCs w:val="10"/>
              </w:rPr>
              <w:t>: периодические медицинские осмотры с целью выявления пневмокониозов, применение средств индивидуальной защиты органов дыхания, контроль за содержанием пыли в воздухе производственных помещений</w:t>
            </w:r>
          </w:p>
        </w:tc>
        <w:tc>
          <w:tcPr>
            <w:tcW w:w="2608" w:type="dxa"/>
          </w:tcPr>
          <w:p w14:paraId="608449E6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before="60"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общетоксические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– вызывающие общее поражение организма.</w:t>
            </w:r>
          </w:p>
          <w:p w14:paraId="4E13D6C5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раздражающие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– поражающие поверхность тканей дыхательного тракта и слизистые оболочки.</w:t>
            </w:r>
          </w:p>
          <w:p w14:paraId="6A2311B7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сенсибилизирующие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– вызывающие повышение реакции клеток и тканей на внешнее раздражение, проявляющееся в аллергических реакциях организма. </w:t>
            </w:r>
          </w:p>
          <w:p w14:paraId="5E6B84A0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мутагенные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– воздействуют на генетический аппарат клетки. </w:t>
            </w:r>
          </w:p>
          <w:p w14:paraId="5DCBE496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канцерогенные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– вызывают образование в организме злокачественных опухолей.</w:t>
            </w:r>
          </w:p>
          <w:p w14:paraId="720D2EFF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 xml:space="preserve">влияющие на </w:t>
            </w:r>
            <w:r w:rsidRPr="00EF77C7">
              <w:rPr>
                <w:rFonts w:ascii="Arial" w:hAnsi="Arial" w:cs="Arial"/>
                <w:b/>
                <w:sz w:val="10"/>
                <w:szCs w:val="10"/>
              </w:rPr>
              <w:t>репродуктивную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функцию </w:t>
            </w: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орг</w:t>
            </w:r>
            <w:r>
              <w:rPr>
                <w:rFonts w:ascii="Arial" w:hAnsi="Arial" w:cs="Arial"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sz w:val="10"/>
                <w:szCs w:val="10"/>
              </w:rPr>
              <w:t>ма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 xml:space="preserve">. </w:t>
            </w:r>
          </w:p>
          <w:p w14:paraId="7ED0EB0A" w14:textId="77777777" w:rsidR="00F34030" w:rsidRPr="00EF77C7" w:rsidRDefault="00F34030" w:rsidP="00F34030">
            <w:pPr>
              <w:spacing w:after="0" w:line="199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sz w:val="10"/>
                <w:szCs w:val="10"/>
              </w:rPr>
              <w:t>Мероприятия по защите от вредных веществ</w:t>
            </w:r>
          </w:p>
          <w:p w14:paraId="2FD5C8F5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>замена вредных веществ менее вредными</w:t>
            </w:r>
          </w:p>
          <w:p w14:paraId="378B2F41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гигиенич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 xml:space="preserve"> стандартизация </w:t>
            </w: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хим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 xml:space="preserve"> сырья и продукции</w:t>
            </w:r>
          </w:p>
          <w:p w14:paraId="71A098B1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рационализацая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 xml:space="preserve"> технологического процесса, аппаратуры и оборудования</w:t>
            </w:r>
          </w:p>
          <w:p w14:paraId="390EB477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>в деле борьбы с производственными отравлениями важное значение имеют такие санитарно-технические мероприятия, как планировка цехов и оборудования, исключающая поступление газов, паров, пыли из одного помещения в другое; выбор материалов для стен и потолков, не сорбирующих вредные вещества; применение вентиляционной техники.</w:t>
            </w:r>
          </w:p>
          <w:p w14:paraId="042DFDF2" w14:textId="77777777" w:rsidR="00F34030" w:rsidRPr="00EF77C7" w:rsidRDefault="00F34030" w:rsidP="00F34030">
            <w:pPr>
              <w:numPr>
                <w:ilvl w:val="0"/>
                <w:numId w:val="39"/>
              </w:numPr>
              <w:spacing w:after="0" w:line="19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>индивидуальная защита органов дыхания, зрения и кожи</w:t>
            </w:r>
          </w:p>
          <w:p w14:paraId="7CE23E89" w14:textId="7373CFAE" w:rsidR="00F34030" w:rsidRPr="007A63F4" w:rsidRDefault="00F34030" w:rsidP="00F34030">
            <w:pPr>
              <w:tabs>
                <w:tab w:val="left" w:pos="609"/>
              </w:tabs>
              <w:spacing w:after="0" w:line="22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>соблюдения установленного режима труда и отдыха, предоставление специального питания, дополнительного отпуска, обучение безопасным методам работы, медицинское обследование</w:t>
            </w:r>
          </w:p>
        </w:tc>
        <w:tc>
          <w:tcPr>
            <w:tcW w:w="2608" w:type="dxa"/>
          </w:tcPr>
          <w:p w14:paraId="61ADFBCB" w14:textId="77777777" w:rsidR="00F34030" w:rsidRPr="00EF77C7" w:rsidRDefault="00F34030" w:rsidP="00F34030">
            <w:pPr>
              <w:spacing w:before="60" w:after="0" w:line="240" w:lineRule="auto"/>
              <w:jc w:val="both"/>
              <w:rPr>
                <w:rFonts w:ascii="Arial" w:hAnsi="Arial" w:cs="Arial"/>
                <w:b/>
                <w:i/>
                <w:sz w:val="10"/>
                <w:szCs w:val="10"/>
                <w:u w:val="single"/>
              </w:rPr>
            </w:pPr>
            <w:r w:rsidRPr="00EF77C7">
              <w:rPr>
                <w:rFonts w:ascii="Arial" w:hAnsi="Arial" w:cs="Arial"/>
                <w:sz w:val="10"/>
                <w:szCs w:val="10"/>
              </w:rPr>
              <w:t xml:space="preserve">- дистанционное управление ходом технологического процесса, которое позволяет вынести рабочее место из зоны с </w:t>
            </w:r>
            <w:proofErr w:type="gramStart"/>
            <w:r w:rsidRPr="00EF77C7">
              <w:rPr>
                <w:rFonts w:ascii="Arial" w:hAnsi="Arial" w:cs="Arial"/>
                <w:sz w:val="10"/>
                <w:szCs w:val="10"/>
              </w:rPr>
              <w:t>неблагоприятными</w:t>
            </w:r>
            <w:r w:rsidRPr="00EF77C7">
              <w:rPr>
                <w:rFonts w:ascii="Arial" w:hAnsi="Arial" w:cs="Arial"/>
                <w:b/>
                <w:i/>
                <w:sz w:val="10"/>
                <w:szCs w:val="10"/>
                <w:u w:val="single"/>
              </w:rPr>
              <w:t xml:space="preserve">  </w:t>
            </w:r>
            <w:r w:rsidRPr="00EF77C7">
              <w:rPr>
                <w:rFonts w:ascii="Arial" w:hAnsi="Arial" w:cs="Arial"/>
                <w:i/>
                <w:sz w:val="10"/>
                <w:szCs w:val="10"/>
                <w:u w:val="single"/>
              </w:rPr>
              <w:t>условиями</w:t>
            </w:r>
            <w:proofErr w:type="gramEnd"/>
            <w:r w:rsidRPr="00EF77C7">
              <w:rPr>
                <w:rFonts w:ascii="Arial" w:hAnsi="Arial" w:cs="Arial"/>
                <w:i/>
                <w:sz w:val="10"/>
                <w:szCs w:val="10"/>
                <w:u w:val="single"/>
              </w:rPr>
              <w:t>.</w:t>
            </w:r>
          </w:p>
          <w:p w14:paraId="6AA173AF" w14:textId="77777777" w:rsidR="00F34030" w:rsidRPr="00EF77C7" w:rsidRDefault="00F34030" w:rsidP="00F34030">
            <w:pPr>
              <w:spacing w:after="0" w:line="240" w:lineRule="auto"/>
              <w:jc w:val="both"/>
              <w:rPr>
                <w:rFonts w:ascii="Arial" w:hAnsi="Arial" w:cs="Arial"/>
                <w:b/>
                <w:i/>
                <w:sz w:val="10"/>
                <w:szCs w:val="10"/>
                <w:u w:val="single"/>
              </w:rPr>
            </w:pPr>
            <w:r w:rsidRPr="00EF77C7">
              <w:rPr>
                <w:rFonts w:ascii="Arial" w:hAnsi="Arial" w:cs="Arial"/>
                <w:b/>
                <w:i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рациональное размещение и теплоизоляция оборудования от источников, излучающих на рабочие места </w:t>
            </w:r>
            <w:proofErr w:type="gramStart"/>
            <w:r w:rsidRPr="00EF77C7">
              <w:rPr>
                <w:rFonts w:ascii="Arial" w:hAnsi="Arial" w:cs="Arial"/>
                <w:sz w:val="10"/>
                <w:szCs w:val="10"/>
              </w:rPr>
              <w:t>тепло</w:t>
            </w:r>
            <w:r w:rsidRPr="00EF77C7">
              <w:rPr>
                <w:rFonts w:ascii="Arial" w:hAnsi="Arial" w:cs="Arial"/>
                <w:b/>
                <w:i/>
                <w:sz w:val="10"/>
                <w:szCs w:val="10"/>
                <w:u w:val="single"/>
              </w:rPr>
              <w:t xml:space="preserve"> .</w:t>
            </w:r>
            <w:proofErr w:type="gramEnd"/>
          </w:p>
          <w:p w14:paraId="4EDFF1B7" w14:textId="77777777" w:rsidR="00F34030" w:rsidRPr="00EF77C7" w:rsidRDefault="00F34030" w:rsidP="00F34030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i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устройство защитных экранов, водяных и воздушных завес, защищающих рабочие места от теплового облучения.</w:t>
            </w:r>
          </w:p>
          <w:p w14:paraId="0048DDF7" w14:textId="77777777" w:rsidR="00F34030" w:rsidRPr="00EF77C7" w:rsidRDefault="00F34030" w:rsidP="00F34030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i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устройство в горячих цехах специально оборудованных комнат.</w:t>
            </w:r>
          </w:p>
          <w:p w14:paraId="0677F01A" w14:textId="77777777" w:rsidR="00F34030" w:rsidRPr="00EF77C7" w:rsidRDefault="00F34030" w:rsidP="00F34030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i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при больших тепловых нагрузках существенное значение имеет специально выработанный режим труда и отдыха, что способствует восстановлению сдвигов в сердечно-сосудистой системе.</w:t>
            </w:r>
          </w:p>
          <w:p w14:paraId="4297803F" w14:textId="4242BEBC" w:rsidR="00F34030" w:rsidRPr="00995259" w:rsidRDefault="00F34030" w:rsidP="00F34030">
            <w:pPr>
              <w:rPr>
                <w:rFonts w:ascii="Arial" w:hAnsi="Arial" w:cs="Arial"/>
                <w:sz w:val="10"/>
                <w:szCs w:val="10"/>
              </w:rPr>
            </w:pPr>
            <w:r w:rsidRPr="00EF77C7">
              <w:rPr>
                <w:rFonts w:ascii="Arial" w:hAnsi="Arial" w:cs="Arial"/>
                <w:b/>
                <w:i/>
                <w:sz w:val="10"/>
                <w:szCs w:val="10"/>
              </w:rPr>
              <w:t>-</w:t>
            </w:r>
            <w:r w:rsidRPr="00EF77C7">
              <w:rPr>
                <w:rFonts w:ascii="Arial" w:hAnsi="Arial" w:cs="Arial"/>
                <w:sz w:val="10"/>
                <w:szCs w:val="10"/>
              </w:rPr>
              <w:t xml:space="preserve"> в значительной мере защищает от перегревания рационально созданная спецодежда, которая должна быть </w:t>
            </w:r>
            <w:proofErr w:type="spellStart"/>
            <w:r w:rsidRPr="00EF77C7">
              <w:rPr>
                <w:rFonts w:ascii="Arial" w:hAnsi="Arial" w:cs="Arial"/>
                <w:sz w:val="10"/>
                <w:szCs w:val="10"/>
              </w:rPr>
              <w:t>воздухо</w:t>
            </w:r>
            <w:proofErr w:type="spellEnd"/>
            <w:r w:rsidRPr="00EF77C7">
              <w:rPr>
                <w:rFonts w:ascii="Arial" w:hAnsi="Arial" w:cs="Arial"/>
                <w:sz w:val="10"/>
                <w:szCs w:val="10"/>
              </w:rPr>
              <w:t>- и влагопроницаемой</w:t>
            </w:r>
          </w:p>
        </w:tc>
        <w:tc>
          <w:tcPr>
            <w:tcW w:w="2608" w:type="dxa"/>
          </w:tcPr>
          <w:p w14:paraId="0706F89E" w14:textId="77777777" w:rsidR="00F34030" w:rsidRPr="00E82BB6" w:rsidRDefault="00F34030" w:rsidP="00F34030">
            <w:pPr>
              <w:spacing w:before="60" w:after="0"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 xml:space="preserve">Защиту работающих от шума, вибрации, электромагнитных излучений и </w:t>
            </w:r>
            <w:proofErr w:type="spellStart"/>
            <w:r w:rsidRPr="00E82BB6">
              <w:rPr>
                <w:rFonts w:ascii="Arial" w:hAnsi="Arial" w:cs="Arial"/>
                <w:sz w:val="10"/>
                <w:szCs w:val="10"/>
              </w:rPr>
              <w:t>др</w:t>
            </w:r>
            <w:proofErr w:type="spellEnd"/>
            <w:r w:rsidRPr="00E82BB6">
              <w:rPr>
                <w:rFonts w:ascii="Arial" w:hAnsi="Arial" w:cs="Arial"/>
                <w:sz w:val="10"/>
                <w:szCs w:val="10"/>
              </w:rPr>
              <w:t>; Обеспечение требуемых нормативов естественного и искусственного освещения; Поддержание в соответствии с санитарными требованиями территории предприятия, основных производственных и вспомогательных помещений.</w:t>
            </w:r>
          </w:p>
          <w:p w14:paraId="317C83AA" w14:textId="77777777" w:rsidR="00F34030" w:rsidRPr="00E82BB6" w:rsidRDefault="00F34030" w:rsidP="00F34030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Гигиена труда</w:t>
            </w:r>
            <w:r w:rsidRPr="00E82BB6">
              <w:rPr>
                <w:rFonts w:ascii="Arial" w:hAnsi="Arial" w:cs="Arial"/>
                <w:sz w:val="10"/>
                <w:szCs w:val="10"/>
                <w:lang w:val="en-US"/>
              </w:rPr>
              <w:t> </w:t>
            </w:r>
            <w:r w:rsidRPr="00E82BB6">
              <w:rPr>
                <w:rFonts w:ascii="Arial" w:hAnsi="Arial" w:cs="Arial"/>
                <w:sz w:val="10"/>
                <w:szCs w:val="10"/>
              </w:rPr>
              <w:t>— это профилактическая медицина, изучающая условия и характер труда, их влияние на здоровье и функциональное состояние чела и разрабатывающая научные основы, и практические меры, направленные на профилактику вредного опасного действия факторов производственной среды и трудового процесса на работающих.</w:t>
            </w:r>
          </w:p>
          <w:p w14:paraId="10D3E86D" w14:textId="77777777" w:rsidR="00F34030" w:rsidRPr="00E82BB6" w:rsidRDefault="00F34030" w:rsidP="00F34030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Предметы гигиены труда:</w:t>
            </w:r>
          </w:p>
          <w:p w14:paraId="2C886501" w14:textId="77777777" w:rsidR="00F34030" w:rsidRPr="00E82BB6" w:rsidRDefault="00F34030" w:rsidP="00F34030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1)трудовой и производственный процессы, режим и обстановка труда, технологические процесс</w:t>
            </w:r>
            <w:r>
              <w:rPr>
                <w:rFonts w:ascii="Arial" w:hAnsi="Arial" w:cs="Arial"/>
                <w:sz w:val="10"/>
                <w:szCs w:val="10"/>
              </w:rPr>
              <w:t>ы</w:t>
            </w:r>
            <w:r w:rsidRPr="00E82BB6">
              <w:rPr>
                <w:rFonts w:ascii="Arial" w:hAnsi="Arial" w:cs="Arial"/>
                <w:sz w:val="10"/>
                <w:szCs w:val="10"/>
              </w:rPr>
              <w:t xml:space="preserve"> с точки зрения их влияния на здоровье чела;</w:t>
            </w:r>
          </w:p>
          <w:p w14:paraId="0797B52D" w14:textId="77777777" w:rsidR="00F34030" w:rsidRDefault="00F34030" w:rsidP="00F34030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2) неблагоприятные (вредные, опасные) факторы, отрицательна влияющие на человека.</w:t>
            </w:r>
          </w:p>
          <w:p w14:paraId="620E42B5" w14:textId="7E2962E4" w:rsidR="00F34030" w:rsidRPr="00E82BB6" w:rsidRDefault="00F34030" w:rsidP="00F34030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 xml:space="preserve">Задачи гигиены труда: разработка санитарно-гигиенических мероприятий по оздоровлению условий труда; обобщение опыта промышленно-санитарного надзора; научное обоснование нормативной документации </w:t>
            </w:r>
            <w:proofErr w:type="gramStart"/>
            <w:r w:rsidRPr="00E82BB6">
              <w:rPr>
                <w:rFonts w:ascii="Arial" w:hAnsi="Arial" w:cs="Arial"/>
                <w:sz w:val="10"/>
                <w:szCs w:val="10"/>
              </w:rPr>
              <w:t>по охр</w:t>
            </w:r>
            <w:proofErr w:type="gramEnd"/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E82BB6">
              <w:rPr>
                <w:rFonts w:ascii="Arial" w:hAnsi="Arial" w:cs="Arial"/>
                <w:sz w:val="10"/>
                <w:szCs w:val="10"/>
              </w:rPr>
              <w:t xml:space="preserve"> тр</w:t>
            </w:r>
            <w:r>
              <w:rPr>
                <w:rFonts w:ascii="Arial" w:hAnsi="Arial" w:cs="Arial"/>
                <w:sz w:val="10"/>
                <w:szCs w:val="10"/>
              </w:rPr>
              <w:t>.</w:t>
            </w:r>
            <w:r w:rsidRPr="00E82BB6">
              <w:rPr>
                <w:rFonts w:ascii="Arial" w:hAnsi="Arial" w:cs="Arial"/>
                <w:sz w:val="10"/>
                <w:szCs w:val="10"/>
              </w:rPr>
              <w:t xml:space="preserve"> - законов, норм, правил.</w:t>
            </w:r>
          </w:p>
          <w:p w14:paraId="2995B613" w14:textId="5821FEE8" w:rsidR="00F34030" w:rsidRPr="00995259" w:rsidRDefault="00F34030" w:rsidP="00F34030">
            <w:pPr>
              <w:tabs>
                <w:tab w:val="left" w:pos="609"/>
              </w:tabs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82BB6">
              <w:rPr>
                <w:rFonts w:ascii="Arial" w:hAnsi="Arial" w:cs="Arial"/>
                <w:sz w:val="10"/>
                <w:szCs w:val="10"/>
              </w:rPr>
              <w:t>Необходимые санитарно-гигиенические условия труда на производственных предприятиях обеспечиваются как на стадии проектирования, так и при эксплуатации оборудования, технологических процессов, производственных и вспомогательных помещений.</w:t>
            </w:r>
          </w:p>
        </w:tc>
      </w:tr>
      <w:tr w:rsidR="006A4DC4" w:rsidRPr="006B0A02" w14:paraId="0FA6BE68" w14:textId="77777777" w:rsidTr="007C736D">
        <w:trPr>
          <w:trHeight w:val="3345"/>
        </w:trPr>
        <w:tc>
          <w:tcPr>
            <w:tcW w:w="2608" w:type="dxa"/>
          </w:tcPr>
          <w:p w14:paraId="393D876F" w14:textId="77777777" w:rsidR="006A4DC4" w:rsidRPr="003A3140" w:rsidRDefault="006A4DC4" w:rsidP="006A4DC4">
            <w:pPr>
              <w:pStyle w:val="a4"/>
              <w:spacing w:before="60"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производств-х факторов,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воздейств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кот. в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теч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рабоч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смены (или её части) может создать угрозу д/жизни,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выс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риск развития острых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профессион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-х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пораж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-й, в т.ч. и тяж-х форм.</w:t>
            </w:r>
          </w:p>
          <w:p w14:paraId="088178B5" w14:textId="77777777" w:rsidR="006A4DC4" w:rsidRPr="003A314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директивн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док-ты,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регламентир-ие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усл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-я тр.: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санитарн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нормы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проектир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-я предприятий, строит. нормы и правила (СНиП), ГОСТы,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требов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-я техники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безоп-ти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(ТБ) и охраны труда (ОТ).</w:t>
            </w:r>
          </w:p>
          <w:p w14:paraId="6A0060E3" w14:textId="77777777" w:rsidR="006A4DC4" w:rsidRPr="003A314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 xml:space="preserve">Опасные и вредные факторы </w:t>
            </w:r>
            <w:proofErr w:type="gramStart"/>
            <w:r w:rsidRPr="003A31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дел-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ся</w:t>
            </w:r>
            <w:proofErr w:type="spellEnd"/>
            <w:proofErr w:type="gramEnd"/>
            <w:r w:rsidRPr="003A31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 xml:space="preserve"> на: </w:t>
            </w:r>
          </w:p>
          <w:p w14:paraId="2B91D9F4" w14:textId="77777777" w:rsidR="006A4DC4" w:rsidRPr="003A314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1) Физические –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движ-ся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машины,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повыш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-й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ур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аэрозолей и газов,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напряж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электр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 цепи;</w:t>
            </w:r>
          </w:p>
          <w:p w14:paraId="1563384A" w14:textId="77777777" w:rsidR="006A4DC4" w:rsidRPr="003A314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2) Химические –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токсич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-е в-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ва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; </w:t>
            </w:r>
          </w:p>
          <w:p w14:paraId="1A732FC6" w14:textId="77777777" w:rsidR="006A4DC4" w:rsidRPr="003A314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3) Биологические –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патог-ые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организмы;</w:t>
            </w:r>
          </w:p>
          <w:p w14:paraId="4FFC7DF2" w14:textId="77777777" w:rsidR="006A4DC4" w:rsidRPr="003A314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4)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Психофизиологическ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– связаны с перегрузками.</w:t>
            </w:r>
          </w:p>
          <w:p w14:paraId="24787D8A" w14:textId="77777777" w:rsidR="006A4DC4" w:rsidRPr="003A314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Факторы </w:t>
            </w:r>
            <w:proofErr w:type="spellStart"/>
            <w:proofErr w:type="gram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трудов.процесса</w:t>
            </w:r>
            <w:proofErr w:type="spellEnd"/>
            <w:proofErr w:type="gram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: тяжесть и напряжённость труда.</w:t>
            </w:r>
          </w:p>
          <w:p w14:paraId="3D74DBB1" w14:textId="77777777" w:rsidR="006A4DC4" w:rsidRPr="003A314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Умств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-й труд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классиф-ся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по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напряж-ти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, физ. тр. – по тяжести</w:t>
            </w:r>
          </w:p>
          <w:p w14:paraId="471CF6DB" w14:textId="77777777" w:rsidR="006A4DC4" w:rsidRPr="003A314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Тяжесть труда – это характеристика труд-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го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процесса, </w:t>
            </w:r>
            <w:proofErr w:type="spellStart"/>
            <w:proofErr w:type="gram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отраж-ая</w:t>
            </w:r>
            <w:proofErr w:type="spellEnd"/>
            <w:proofErr w:type="gram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преимущ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-ю нагрузку на опорно-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двигат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-й аппарат и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функцион-ые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системы организма, обеспечив-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ие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его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деят-ть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</w:p>
          <w:p w14:paraId="61027A36" w14:textId="3D371C6E" w:rsidR="006A4DC4" w:rsidRPr="00E5482A" w:rsidRDefault="006A4DC4" w:rsidP="006A4DC4">
            <w:pPr>
              <w:spacing w:after="0" w:line="240" w:lineRule="auto"/>
              <w:rPr>
                <w:rFonts w:ascii="Arial" w:hAnsi="Arial" w:cs="Arial"/>
                <w:sz w:val="10"/>
                <w:szCs w:val="10"/>
                <w:lang w:bidi="ru-RU"/>
              </w:rPr>
            </w:pP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Напряж-ть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тр. - характеристика труд-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го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процесса, </w:t>
            </w:r>
            <w:proofErr w:type="spellStart"/>
            <w:proofErr w:type="gram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отраж-ая</w:t>
            </w:r>
            <w:proofErr w:type="spellEnd"/>
            <w:proofErr w:type="gram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преимущ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-ю нагрузку на ЦНС, органы чувств и </w:t>
            </w:r>
            <w:proofErr w:type="spellStart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эмоцион</w:t>
            </w:r>
            <w:proofErr w:type="spellEnd"/>
            <w:r w:rsidRPr="003A31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-ю сферу работника.</w:t>
            </w:r>
          </w:p>
        </w:tc>
        <w:tc>
          <w:tcPr>
            <w:tcW w:w="2608" w:type="dxa"/>
          </w:tcPr>
          <w:p w14:paraId="4C3D2BDE" w14:textId="086D1852" w:rsidR="006A4DC4" w:rsidRPr="00757F78" w:rsidRDefault="006A4DC4" w:rsidP="006A4DC4">
            <w:pPr>
              <w:spacing w:before="60" w:after="0" w:line="21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светильников местного освещения для подсветки документов. Местное освещение не должно создавать бликов на поверхности экрана и увеличивать освещенность экрана более 300 лк.</w:t>
            </w:r>
          </w:p>
        </w:tc>
        <w:tc>
          <w:tcPr>
            <w:tcW w:w="2608" w:type="dxa"/>
          </w:tcPr>
          <w:p w14:paraId="70C38CD3" w14:textId="77777777" w:rsidR="006A4DC4" w:rsidRPr="002515F0" w:rsidRDefault="006A4DC4" w:rsidP="006A4DC4">
            <w:pPr>
              <w:pStyle w:val="a4"/>
              <w:spacing w:before="60" w:after="0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течение последних 4 часов работы независимо от категории и вида работ каждый час по 15 минут. </w:t>
            </w:r>
          </w:p>
          <w:p w14:paraId="18FE5DC9" w14:textId="77777777" w:rsidR="006A4DC4" w:rsidRPr="002515F0" w:rsidRDefault="006A4DC4" w:rsidP="006A4DC4">
            <w:pPr>
              <w:pStyle w:val="a4"/>
              <w:spacing w:after="0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Во время регламентированных перерывов с целью снижения нервно-эмоционального напряжения, утомления зрительного анализаторов, предотвращения развития статического утомления необходимо выполнять 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физкультурные минутки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С целью уменьшения отрицательного влияния монотонности целесообразно применять </w:t>
            </w: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чередование операций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</w:p>
          <w:p w14:paraId="50BD1A7D" w14:textId="7160A77B" w:rsidR="006A4DC4" w:rsidRPr="00946A12" w:rsidRDefault="006A4DC4" w:rsidP="006A4DC4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Женщинам со времени установления беременности и в период кормления грудью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необходимо уменьшить время работы в ПЭВМ до 3 часов в день с учетом обязательной организации оптимального микроклимата и ионизации воздуха помещений, обязательного соблюдения ПДУ физических факторов, регламентированных перерывов. Если это невозможно, то женщина должна быть переведена на работы, не связанные с использованием ПЭВМ</w:t>
            </w:r>
          </w:p>
        </w:tc>
        <w:tc>
          <w:tcPr>
            <w:tcW w:w="2608" w:type="dxa"/>
          </w:tcPr>
          <w:p w14:paraId="3D9B116A" w14:textId="77777777" w:rsidR="006A4DC4" w:rsidRPr="002515F0" w:rsidRDefault="006A4DC4" w:rsidP="006A4DC4">
            <w:pPr>
              <w:pStyle w:val="a4"/>
              <w:spacing w:before="60"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установка светильников. Местное освещение не должно создавать бликов на поверхности экрана.</w:t>
            </w:r>
          </w:p>
          <w:p w14:paraId="00F7E05C" w14:textId="77777777" w:rsidR="006A4DC4" w:rsidRPr="002515F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Уровень шума не должен превышать</w:t>
            </w: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50 дБ – 75 дБ</w:t>
            </w:r>
          </w:p>
          <w:p w14:paraId="4066DC86" w14:textId="77777777" w:rsidR="006A4DC4" w:rsidRPr="002515F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При строительстве новых и реконструкции действующих зданий и помещений их следует проектировать высотой от пола до потолка на менее 3 метров. </w:t>
            </w:r>
          </w:p>
          <w:p w14:paraId="4526D5E0" w14:textId="77777777" w:rsidR="006A4DC4" w:rsidRPr="002515F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Схемы размещения рабочих мест с ВДТ, ЭВМ и ПЭВМ должны учитывать расстояния между рабочими столами с видеомониторами, которое должно быть не менее 2 м (между тылом одного мониторов и экраном другого), а расстояние между боковыми поверхностями мониторов – не менее 1.2 м.</w:t>
            </w:r>
          </w:p>
          <w:p w14:paraId="7DE7C578" w14:textId="77777777" w:rsidR="006A4DC4" w:rsidRPr="002515F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Экран видеомонитора должен находиться от глаза пользователя на оптимальном расстоянии 60-70 см, но не ближе 50 см с учетом размеров алфавитно-цифровых знаков и символов.</w:t>
            </w:r>
          </w:p>
          <w:p w14:paraId="3F8F774B" w14:textId="77777777" w:rsidR="006A4DC4" w:rsidRPr="002515F0" w:rsidRDefault="006A4DC4" w:rsidP="006A4DC4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Клавиатуру следует располагать на поверхности стола на расстоянии 10-30 см от края, обращенного к пользователю или на специальной регулируемой по высоте рабочей поверхности, отделенной от основной столешницы. </w:t>
            </w:r>
          </w:p>
          <w:p w14:paraId="71B57FE2" w14:textId="7DE044E5" w:rsidR="006A4DC4" w:rsidRPr="00D22FDA" w:rsidRDefault="006A4DC4" w:rsidP="006A4DC4">
            <w:pPr>
              <w:tabs>
                <w:tab w:val="left" w:pos="609"/>
              </w:tabs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2515F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 помещениях ежедневно должна проводиться влажная уборка, они должны быть оснащены аптечкой первой помощи и углекислотными огнетушителями.</w:t>
            </w:r>
          </w:p>
        </w:tc>
        <w:tc>
          <w:tcPr>
            <w:tcW w:w="2608" w:type="dxa"/>
          </w:tcPr>
          <w:p w14:paraId="720B5BBC" w14:textId="717E00AE" w:rsidR="006A4DC4" w:rsidRPr="00757F78" w:rsidRDefault="006A4DC4" w:rsidP="006A4DC4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</w:p>
        </w:tc>
        <w:tc>
          <w:tcPr>
            <w:tcW w:w="2608" w:type="dxa"/>
          </w:tcPr>
          <w:p w14:paraId="5EE9EE9E" w14:textId="77777777" w:rsidR="006A4DC4" w:rsidRPr="001D117A" w:rsidRDefault="006A4DC4" w:rsidP="006A4DC4">
            <w:pPr>
              <w:pStyle w:val="a4"/>
              <w:spacing w:before="60" w:after="0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веществ, помимо этого,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ко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м</w:t>
            </w: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пьютер притягивает пыль, которая оседает в легких, к тому же уменьшается влажность.</w:t>
            </w:r>
          </w:p>
          <w:p w14:paraId="1BD2109B" w14:textId="4F741D88" w:rsidR="006A4DC4" w:rsidRPr="00943196" w:rsidRDefault="006A4DC4" w:rsidP="006A4DC4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1D117A">
              <w:rPr>
                <w:rFonts w:ascii="Arial" w:hAnsi="Arial" w:cs="Arial"/>
                <w:bCs/>
                <w:sz w:val="10"/>
                <w:szCs w:val="10"/>
                <w:lang w:bidi="ru-RU"/>
              </w:rPr>
              <w:t>Чтобы уменьшить влияние на здоровье, нужно использовать современные мониторы, делать влажную уборку для уменьшения влияния пыли на организм.</w:t>
            </w:r>
          </w:p>
        </w:tc>
      </w:tr>
    </w:tbl>
    <w:p w14:paraId="0AE35721" w14:textId="77777777" w:rsidR="00FB17A1" w:rsidRDefault="00FB17A1"/>
    <w:sectPr w:rsidR="00FB17A1" w:rsidSect="00F129FC">
      <w:pgSz w:w="16838" w:h="11906" w:orient="landscape" w:code="9"/>
      <w:pgMar w:top="595" w:right="595" w:bottom="595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7ED"/>
    <w:multiLevelType w:val="hybridMultilevel"/>
    <w:tmpl w:val="7EC6F21E"/>
    <w:lvl w:ilvl="0" w:tplc="425C3188">
      <w:start w:val="1"/>
      <w:numFmt w:val="bullet"/>
      <w:suff w:val="space"/>
      <w:lvlText w:val=""/>
      <w:lvlJc w:val="left"/>
      <w:pPr>
        <w:ind w:left="2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1" w15:restartNumberingAfterBreak="0">
    <w:nsid w:val="03F86501"/>
    <w:multiLevelType w:val="hybridMultilevel"/>
    <w:tmpl w:val="E8549966"/>
    <w:lvl w:ilvl="0" w:tplc="54C219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261D89"/>
    <w:multiLevelType w:val="multilevel"/>
    <w:tmpl w:val="F80439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10"/>
        <w:szCs w:val="1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bullet"/>
      <w:lvlText w:val="·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E6F0A"/>
    <w:multiLevelType w:val="hybridMultilevel"/>
    <w:tmpl w:val="498625B8"/>
    <w:lvl w:ilvl="0" w:tplc="62C6D83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EB70BB5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5B793E"/>
    <w:multiLevelType w:val="hybridMultilevel"/>
    <w:tmpl w:val="1AEAE064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450102"/>
    <w:multiLevelType w:val="hybridMultilevel"/>
    <w:tmpl w:val="A588DEF4"/>
    <w:lvl w:ilvl="0" w:tplc="9B8231F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0568D"/>
    <w:multiLevelType w:val="multilevel"/>
    <w:tmpl w:val="F40879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122586"/>
    <w:multiLevelType w:val="hybridMultilevel"/>
    <w:tmpl w:val="8DF464CE"/>
    <w:lvl w:ilvl="0" w:tplc="F46A2CB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3B7E87"/>
    <w:multiLevelType w:val="hybridMultilevel"/>
    <w:tmpl w:val="D3EEE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FC6A2F4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813"/>
    <w:multiLevelType w:val="hybridMultilevel"/>
    <w:tmpl w:val="8BBE5966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4004884"/>
    <w:multiLevelType w:val="hybridMultilevel"/>
    <w:tmpl w:val="6E52DE6C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472619F"/>
    <w:multiLevelType w:val="hybridMultilevel"/>
    <w:tmpl w:val="5F7A6794"/>
    <w:lvl w:ilvl="0" w:tplc="7E4827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1A5BDC">
      <w:start w:val="3"/>
      <w:numFmt w:val="bullet"/>
      <w:lvlText w:val="•"/>
      <w:lvlJc w:val="left"/>
      <w:pPr>
        <w:ind w:left="2149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D63136"/>
    <w:multiLevelType w:val="multilevel"/>
    <w:tmpl w:val="5494057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6925C0E"/>
    <w:multiLevelType w:val="hybridMultilevel"/>
    <w:tmpl w:val="1BCA5ED4"/>
    <w:lvl w:ilvl="0" w:tplc="6E04F0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77D2ACB"/>
    <w:multiLevelType w:val="hybridMultilevel"/>
    <w:tmpl w:val="C3DA1656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0706CA3"/>
    <w:multiLevelType w:val="hybridMultilevel"/>
    <w:tmpl w:val="3F9CD032"/>
    <w:lvl w:ilvl="0" w:tplc="5980DD74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054EB8"/>
    <w:multiLevelType w:val="multilevel"/>
    <w:tmpl w:val="0B1C76D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bullet"/>
      <w:lvlText w:val="·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F29DB"/>
    <w:multiLevelType w:val="multilevel"/>
    <w:tmpl w:val="F95837C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369F36A8"/>
    <w:multiLevelType w:val="hybridMultilevel"/>
    <w:tmpl w:val="9CCEFDE0"/>
    <w:lvl w:ilvl="0" w:tplc="F7203432"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9A51FC9"/>
    <w:multiLevelType w:val="hybridMultilevel"/>
    <w:tmpl w:val="F51A9E50"/>
    <w:lvl w:ilvl="0" w:tplc="155E0EBE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BE2E16"/>
    <w:multiLevelType w:val="hybridMultilevel"/>
    <w:tmpl w:val="C0A03726"/>
    <w:lvl w:ilvl="0" w:tplc="AA7C0AFC">
      <w:start w:val="1"/>
      <w:numFmt w:val="bullet"/>
      <w:suff w:val="space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5492D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A3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80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40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AD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A4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A9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C2B3C"/>
    <w:multiLevelType w:val="hybridMultilevel"/>
    <w:tmpl w:val="B9DE162C"/>
    <w:lvl w:ilvl="0" w:tplc="DDFA821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7B9546D"/>
    <w:multiLevelType w:val="hybridMultilevel"/>
    <w:tmpl w:val="0D3C3398"/>
    <w:lvl w:ilvl="0" w:tplc="73F87ABC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01258"/>
    <w:multiLevelType w:val="hybridMultilevel"/>
    <w:tmpl w:val="27264BC2"/>
    <w:lvl w:ilvl="0" w:tplc="1D6E5F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3A1C6F"/>
    <w:multiLevelType w:val="hybridMultilevel"/>
    <w:tmpl w:val="28D6F22A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85F1D96"/>
    <w:multiLevelType w:val="multilevel"/>
    <w:tmpl w:val="5CA0FAA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D504BDA"/>
    <w:multiLevelType w:val="multilevel"/>
    <w:tmpl w:val="15FCE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0049E9"/>
    <w:multiLevelType w:val="hybridMultilevel"/>
    <w:tmpl w:val="4F9EAEAA"/>
    <w:lvl w:ilvl="0" w:tplc="85E2B5F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E76BA"/>
    <w:multiLevelType w:val="hybridMultilevel"/>
    <w:tmpl w:val="139C9B0A"/>
    <w:lvl w:ilvl="0" w:tplc="66704EE4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6CA3BB0"/>
    <w:multiLevelType w:val="hybridMultilevel"/>
    <w:tmpl w:val="013A8E5E"/>
    <w:lvl w:ilvl="0" w:tplc="7DF6D222">
      <w:start w:val="1"/>
      <w:numFmt w:val="decimal"/>
      <w:suff w:val="space"/>
      <w:lvlText w:val="%1."/>
      <w:lvlJc w:val="left"/>
      <w:pPr>
        <w:ind w:left="720" w:hanging="360"/>
      </w:pPr>
      <w:rPr>
        <w:rFonts w:cstheme="minorHAnsi" w:hint="default"/>
        <w:b w:val="0"/>
        <w:sz w:val="10"/>
        <w:szCs w:val="1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B431A"/>
    <w:multiLevelType w:val="hybridMultilevel"/>
    <w:tmpl w:val="36C0D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E1AE6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A1168"/>
    <w:multiLevelType w:val="hybridMultilevel"/>
    <w:tmpl w:val="8D3A7014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0CF2FBE"/>
    <w:multiLevelType w:val="hybridMultilevel"/>
    <w:tmpl w:val="6C0449B6"/>
    <w:lvl w:ilvl="0" w:tplc="5922BE7E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51ACD88">
      <w:start w:val="1"/>
      <w:numFmt w:val="lowerLetter"/>
      <w:lvlText w:val="%2."/>
      <w:lvlJc w:val="left"/>
      <w:pPr>
        <w:ind w:left="1440" w:hanging="360"/>
      </w:pPr>
    </w:lvl>
    <w:lvl w:ilvl="2" w:tplc="7D1C42E2">
      <w:start w:val="1"/>
      <w:numFmt w:val="lowerRoman"/>
      <w:lvlText w:val="%3."/>
      <w:lvlJc w:val="right"/>
      <w:pPr>
        <w:ind w:left="2160" w:hanging="180"/>
      </w:pPr>
    </w:lvl>
    <w:lvl w:ilvl="3" w:tplc="4772786C">
      <w:start w:val="1"/>
      <w:numFmt w:val="decimal"/>
      <w:lvlText w:val="%4."/>
      <w:lvlJc w:val="left"/>
      <w:pPr>
        <w:ind w:left="2880" w:hanging="360"/>
      </w:pPr>
    </w:lvl>
    <w:lvl w:ilvl="4" w:tplc="26F85E5E">
      <w:start w:val="1"/>
      <w:numFmt w:val="lowerLetter"/>
      <w:lvlText w:val="%5."/>
      <w:lvlJc w:val="left"/>
      <w:pPr>
        <w:ind w:left="3600" w:hanging="360"/>
      </w:pPr>
    </w:lvl>
    <w:lvl w:ilvl="5" w:tplc="BB22A5DE">
      <w:start w:val="1"/>
      <w:numFmt w:val="lowerRoman"/>
      <w:lvlText w:val="%6."/>
      <w:lvlJc w:val="right"/>
      <w:pPr>
        <w:ind w:left="4320" w:hanging="180"/>
      </w:pPr>
    </w:lvl>
    <w:lvl w:ilvl="6" w:tplc="DB423350">
      <w:start w:val="1"/>
      <w:numFmt w:val="decimal"/>
      <w:lvlText w:val="%7."/>
      <w:lvlJc w:val="left"/>
      <w:pPr>
        <w:ind w:left="5040" w:hanging="360"/>
      </w:pPr>
    </w:lvl>
    <w:lvl w:ilvl="7" w:tplc="103E66E6">
      <w:start w:val="1"/>
      <w:numFmt w:val="lowerLetter"/>
      <w:lvlText w:val="%8."/>
      <w:lvlJc w:val="left"/>
      <w:pPr>
        <w:ind w:left="5760" w:hanging="360"/>
      </w:pPr>
    </w:lvl>
    <w:lvl w:ilvl="8" w:tplc="E952B67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D3E96"/>
    <w:multiLevelType w:val="hybridMultilevel"/>
    <w:tmpl w:val="81CE460A"/>
    <w:lvl w:ilvl="0" w:tplc="0FA6DA34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895F87"/>
    <w:multiLevelType w:val="hybridMultilevel"/>
    <w:tmpl w:val="2D0C8116"/>
    <w:lvl w:ilvl="0" w:tplc="F1B4084E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B5863AF"/>
    <w:multiLevelType w:val="hybridMultilevel"/>
    <w:tmpl w:val="5E0C8A42"/>
    <w:lvl w:ilvl="0" w:tplc="3D88E10E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593EF0"/>
    <w:multiLevelType w:val="hybridMultilevel"/>
    <w:tmpl w:val="B27CC9A6"/>
    <w:lvl w:ilvl="0" w:tplc="CCF08A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2085C"/>
    <w:multiLevelType w:val="hybridMultilevel"/>
    <w:tmpl w:val="A4306884"/>
    <w:lvl w:ilvl="0" w:tplc="6E38EA86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345700A"/>
    <w:multiLevelType w:val="multilevel"/>
    <w:tmpl w:val="4170D35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5B4AB4"/>
    <w:multiLevelType w:val="hybridMultilevel"/>
    <w:tmpl w:val="53D46A9C"/>
    <w:lvl w:ilvl="0" w:tplc="0532C482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37A53A0"/>
    <w:multiLevelType w:val="hybridMultilevel"/>
    <w:tmpl w:val="69EAA0A2"/>
    <w:lvl w:ilvl="0" w:tplc="FB243414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A838A8"/>
    <w:multiLevelType w:val="hybridMultilevel"/>
    <w:tmpl w:val="649AC8D4"/>
    <w:lvl w:ilvl="0" w:tplc="8DC8AA72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9B43619"/>
    <w:multiLevelType w:val="hybridMultilevel"/>
    <w:tmpl w:val="AC689B62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474C9EE8">
      <w:start w:val="1"/>
      <w:numFmt w:val="decimal"/>
      <w:suff w:val="space"/>
      <w:lvlText w:val="%2)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9"/>
  </w:num>
  <w:num w:numId="5">
    <w:abstractNumId w:val="0"/>
  </w:num>
  <w:num w:numId="6">
    <w:abstractNumId w:val="4"/>
  </w:num>
  <w:num w:numId="7">
    <w:abstractNumId w:val="24"/>
  </w:num>
  <w:num w:numId="8">
    <w:abstractNumId w:val="31"/>
  </w:num>
  <w:num w:numId="9">
    <w:abstractNumId w:val="10"/>
  </w:num>
  <w:num w:numId="10">
    <w:abstractNumId w:val="28"/>
  </w:num>
  <w:num w:numId="11">
    <w:abstractNumId w:val="40"/>
  </w:num>
  <w:num w:numId="12">
    <w:abstractNumId w:val="22"/>
  </w:num>
  <w:num w:numId="13">
    <w:abstractNumId w:val="13"/>
  </w:num>
  <w:num w:numId="14">
    <w:abstractNumId w:val="1"/>
  </w:num>
  <w:num w:numId="15">
    <w:abstractNumId w:val="34"/>
  </w:num>
  <w:num w:numId="16">
    <w:abstractNumId w:val="36"/>
  </w:num>
  <w:num w:numId="17">
    <w:abstractNumId w:val="5"/>
  </w:num>
  <w:num w:numId="18">
    <w:abstractNumId w:val="11"/>
  </w:num>
  <w:num w:numId="19">
    <w:abstractNumId w:val="23"/>
  </w:num>
  <w:num w:numId="20">
    <w:abstractNumId w:val="18"/>
  </w:num>
  <w:num w:numId="21">
    <w:abstractNumId w:val="12"/>
  </w:num>
  <w:num w:numId="22">
    <w:abstractNumId w:val="26"/>
  </w:num>
  <w:num w:numId="23">
    <w:abstractNumId w:val="6"/>
  </w:num>
  <w:num w:numId="24">
    <w:abstractNumId w:val="38"/>
  </w:num>
  <w:num w:numId="25">
    <w:abstractNumId w:val="17"/>
  </w:num>
  <w:num w:numId="26">
    <w:abstractNumId w:val="29"/>
  </w:num>
  <w:num w:numId="27">
    <w:abstractNumId w:val="41"/>
  </w:num>
  <w:num w:numId="28">
    <w:abstractNumId w:val="25"/>
  </w:num>
  <w:num w:numId="29">
    <w:abstractNumId w:val="42"/>
  </w:num>
  <w:num w:numId="30">
    <w:abstractNumId w:val="21"/>
  </w:num>
  <w:num w:numId="31">
    <w:abstractNumId w:val="7"/>
  </w:num>
  <w:num w:numId="32">
    <w:abstractNumId w:val="1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2160" w:hanging="360"/>
        </w:pPr>
        <w:rPr>
          <w:rFonts w:hint="default"/>
        </w:rPr>
      </w:lvl>
    </w:lvlOverride>
    <w:lvlOverride w:ilvl="3">
      <w:lvl w:ilvl="3">
        <w:start w:val="2"/>
        <w:numFmt w:val="bullet"/>
        <w:lvlText w:val="·"/>
        <w:lvlJc w:val="left"/>
        <w:pPr>
          <w:ind w:left="2880" w:hanging="360"/>
        </w:pPr>
        <w:rPr>
          <w:rFonts w:ascii="Calibri" w:eastAsia="Times New Roman" w:hAnsi="Calibri" w:cs="Calibri" w:hint="default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3">
    <w:abstractNumId w:val="39"/>
  </w:num>
  <w:num w:numId="34">
    <w:abstractNumId w:val="2"/>
  </w:num>
  <w:num w:numId="35">
    <w:abstractNumId w:val="30"/>
  </w:num>
  <w:num w:numId="36">
    <w:abstractNumId w:val="27"/>
  </w:num>
  <w:num w:numId="37">
    <w:abstractNumId w:val="32"/>
  </w:num>
  <w:num w:numId="38">
    <w:abstractNumId w:val="20"/>
  </w:num>
  <w:num w:numId="39">
    <w:abstractNumId w:val="35"/>
  </w:num>
  <w:num w:numId="40">
    <w:abstractNumId w:val="19"/>
  </w:num>
  <w:num w:numId="41">
    <w:abstractNumId w:val="33"/>
  </w:num>
  <w:num w:numId="42">
    <w:abstractNumId w:val="37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FC"/>
    <w:rsid w:val="001659D9"/>
    <w:rsid w:val="001D346D"/>
    <w:rsid w:val="002575CE"/>
    <w:rsid w:val="00262102"/>
    <w:rsid w:val="00277554"/>
    <w:rsid w:val="003E7BF1"/>
    <w:rsid w:val="0046790D"/>
    <w:rsid w:val="004A7D3F"/>
    <w:rsid w:val="004B61AC"/>
    <w:rsid w:val="0051593F"/>
    <w:rsid w:val="006113B9"/>
    <w:rsid w:val="0064397C"/>
    <w:rsid w:val="006A4DC4"/>
    <w:rsid w:val="007C736D"/>
    <w:rsid w:val="007E0894"/>
    <w:rsid w:val="00867386"/>
    <w:rsid w:val="00905618"/>
    <w:rsid w:val="00943196"/>
    <w:rsid w:val="00946A12"/>
    <w:rsid w:val="00950CB0"/>
    <w:rsid w:val="00955ED3"/>
    <w:rsid w:val="00995259"/>
    <w:rsid w:val="009B1DDA"/>
    <w:rsid w:val="00A0351C"/>
    <w:rsid w:val="00A76959"/>
    <w:rsid w:val="00AA77CC"/>
    <w:rsid w:val="00AF2C38"/>
    <w:rsid w:val="00B61C65"/>
    <w:rsid w:val="00B9710A"/>
    <w:rsid w:val="00BE412A"/>
    <w:rsid w:val="00C5308E"/>
    <w:rsid w:val="00CC70D3"/>
    <w:rsid w:val="00D80787"/>
    <w:rsid w:val="00D84F07"/>
    <w:rsid w:val="00DC0412"/>
    <w:rsid w:val="00DC6DF9"/>
    <w:rsid w:val="00E5482A"/>
    <w:rsid w:val="00E5537A"/>
    <w:rsid w:val="00E86DCE"/>
    <w:rsid w:val="00EF1D71"/>
    <w:rsid w:val="00F129FC"/>
    <w:rsid w:val="00F1733C"/>
    <w:rsid w:val="00F20F90"/>
    <w:rsid w:val="00F25EBE"/>
    <w:rsid w:val="00F34030"/>
    <w:rsid w:val="00FB17A1"/>
    <w:rsid w:val="00FB2B5C"/>
    <w:rsid w:val="00FB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F036"/>
  <w15:chartTrackingRefBased/>
  <w15:docId w15:val="{454523DE-758E-4D62-BD8F-DACC1AD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29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3B9"/>
    <w:pPr>
      <w:spacing w:after="160" w:line="259" w:lineRule="auto"/>
      <w:ind w:left="720"/>
      <w:contextualSpacing/>
    </w:pPr>
  </w:style>
  <w:style w:type="character" w:styleId="a5">
    <w:name w:val="Hyperlink"/>
    <w:basedOn w:val="a0"/>
    <w:rsid w:val="00F25EBE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1548</Words>
  <Characters>10558</Characters>
  <Application>Microsoft Office Word</Application>
  <DocSecurity>0</DocSecurity>
  <Lines>310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Трошко Валерия</dc:creator>
  <cp:keywords/>
  <dc:description/>
  <cp:lastModifiedBy>Трошко Валерия</cp:lastModifiedBy>
  <cp:revision>3</cp:revision>
  <cp:lastPrinted>2022-01-04T11:03:00Z</cp:lastPrinted>
  <dcterms:created xsi:type="dcterms:W3CDTF">2022-01-05T07:08:00Z</dcterms:created>
  <dcterms:modified xsi:type="dcterms:W3CDTF">2022-01-05T09:09:00Z</dcterms:modified>
</cp:coreProperties>
</file>