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rFonts w:ascii="Arial" w:cs="Arial" w:eastAsia="Arial" w:hAnsi="Arial"/>
          <w:b/>
          <w:bCs/>
          <w:color w:val="1D6FA8"/>
          <w:sz w:val="56"/>
          <w:szCs w:val="56"/>
        </w:rPr>
        <w:t xml:space="preserve">BeautyOS</w:t>
      </w:r>
    </w:p>
    <w:p>
      <w:pPr>
        <w:spacing w:after="120" w:before="0"/>
      </w:pPr>
      <w:r>
        <w:rPr>
          <w:rFonts w:ascii="Arial" w:cs="Arial" w:eastAsia="Arial" w:hAnsi="Arial"/>
          <w:color w:val="5F5E5A"/>
          <w:sz w:val="32"/>
          <w:szCs w:val="32"/>
        </w:rPr>
        <w:t xml:space="preserve">Маркетинговый анализ и стратегические рекомендации</w:t>
      </w:r>
    </w:p>
    <w:p>
      <w:pPr>
        <w:spacing w:after="600" w:before="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Подготовлено: июнь 2025 · Анализ: BeautyOS / beautyos-bice.vercel.app</w:t>
      </w:r>
    </w:p>
    <w:p>
      <w:pPr>
        <w:pBdr>
          <w:bottom w:val="single" w:color="1D6FA8" w:sz="12" w:space="1"/>
        </w:pBdr>
        <w:spacing w:after="400" w:before="0"/>
      </w:pPr>
      <w:r>
        <w:t xml:space="preserve"/>
      </w:r>
    </w:p>
    <w:p>
      <w:pPr>
        <w:pStyle w:val="Heading2"/>
        <w:pBdr>
          <w:bottom w:val="single" w:color="1D6FA8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D6FA8"/>
          <w:sz w:val="28"/>
          <w:szCs w:val="28"/>
        </w:rPr>
        <w:t xml:space="preserve">Краткое резюме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BeautyOS — AI-платформа для возврата клиентов в салонах красоты. Продукт занимает уникальную позицию на рынке: в отличие от конкурентов (DIKIDI, YClients), которые фокусируются на автоматизации записи, BeautyOS акцентируется на измеримом финансовом результате — конкретных рублях, которые владелец салона может вернуть сегодня.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1D6FA8" w:sz="6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A8"/>
                <w:sz w:val="22"/>
                <w:szCs w:val="22"/>
              </w:rPr>
              <w:t xml:space="preserve">Ключевые показатели позиционирования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A8"/>
                <w:sz w:val="20"/>
                <w:szCs w:val="20"/>
              </w:rPr>
              <w:t xml:space="preserve">Ключевой оффер: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«Загрузи CSV — через 2 минуты знаешь, кому звонить и сколько вернёшь»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A8"/>
                <w:sz w:val="20"/>
                <w:szCs w:val="20"/>
              </w:rPr>
              <w:t xml:space="preserve">Уникальное преимущество: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Конкретный ROI в рублях, а не абстрактные функции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A8"/>
                <w:sz w:val="20"/>
                <w:szCs w:val="20"/>
              </w:rPr>
              <w:t xml:space="preserve">Целевой сегмент: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Владельцы и управляющие салонов красоты, 1–20 мастеров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A8"/>
                <w:sz w:val="20"/>
                <w:szCs w:val="20"/>
              </w:rPr>
              <w:t xml:space="preserve">Главная конкурентная угроза: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DIKIDI — высокий brand awareness, низкая цена входа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1D6FA8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D6FA8"/>
          <w:sz w:val="28"/>
          <w:szCs w:val="28"/>
        </w:rPr>
        <w:t xml:space="preserve">1. Анализ позиционирования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Текущее сообщение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Заголовок лендинга «Ваши клиенты уходят. AI их возвращает.» — сильный, прямой, бьёт в реальную боль. Это один из лучших заголовков в нише: он не описывает продукт, а называет проблему и сразу предлагает выход.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Три цифры в hero-секции (38% / ×4 / 2 мин) работают как социальное доказательство ещё до того, как пользователь дочитает страницу. Это правильный приём.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1D9E75" w:sz="6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7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2"/>
                <w:szCs w:val="22"/>
              </w:rPr>
              <w:t xml:space="preserve">Оффер — сильные стороны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7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Конкретные цифры в ₽, а не абстрактные обещания («вернём клиентов»)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7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Быстрый путь до результата — 2 минуты после загрузки CSV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7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Концепция AI-директоров — оригинальная, легко объяснимая метафора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7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Фокус на действии («позвони 5 клиентам сегодня»), а не на отчётах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D6FA8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D6FA8"/>
          <w:sz w:val="28"/>
          <w:szCs w:val="28"/>
        </w:rPr>
        <w:t xml:space="preserve">2. Конкурентный анализ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Рынок цифровых инструментов для бьюти-бизнеса в России занят прежде всего CRM-системами записи. BeautyOS занимает нишу «AI-аналитики удержания», которая пока практически не заполнена прямыми конкурентами.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1200"/>
        <w:gridCol w:w="1200"/>
        <w:gridCol w:w="1450"/>
        <w:gridCol w:w="1276"/>
      </w:tblGrid>
      <w:tr>
        <w:trPr>
          <w:tblHeader/>
        </w:trPr>
        <w:tc>
          <w:tcPr>
            <w:tcW w:type="dxa" w:w="1500"/>
            <w:tcBorders>
              <w:top w:val="single" w:color="1D6FA8" w:sz="1"/>
              <w:left w:val="single" w:color="1D6FA8" w:sz="1"/>
              <w:bottom w:val="single" w:color="1D6FA8" w:sz="1"/>
              <w:right w:val="single" w:color="1D6FA8" w:sz="1"/>
            </w:tcBorders>
            <w:shd w:fill="1D6F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Продукт</w:t>
            </w:r>
          </w:p>
        </w:tc>
        <w:tc>
          <w:tcPr>
            <w:tcW w:type="dxa" w:w="2200"/>
            <w:tcBorders>
              <w:top w:val="single" w:color="1D6FA8" w:sz="1"/>
              <w:left w:val="single" w:color="1D6FA8" w:sz="1"/>
              <w:bottom w:val="single" w:color="1D6FA8" w:sz="1"/>
              <w:right w:val="single" w:color="1D6FA8" w:sz="1"/>
            </w:tcBorders>
            <w:shd w:fill="1D6F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Позиционирование</w:t>
            </w:r>
          </w:p>
        </w:tc>
        <w:tc>
          <w:tcPr>
            <w:tcW w:type="dxa" w:w="1200"/>
            <w:tcBorders>
              <w:top w:val="single" w:color="1D6FA8" w:sz="1"/>
              <w:left w:val="single" w:color="1D6FA8" w:sz="1"/>
              <w:bottom w:val="single" w:color="1D6FA8" w:sz="1"/>
              <w:right w:val="single" w:color="1D6FA8" w:sz="1"/>
            </w:tcBorders>
            <w:shd w:fill="1D6F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Цена/мес</w:t>
            </w:r>
          </w:p>
        </w:tc>
        <w:tc>
          <w:tcPr>
            <w:tcW w:type="dxa" w:w="1200"/>
            <w:tcBorders>
              <w:top w:val="single" w:color="1D6FA8" w:sz="1"/>
              <w:left w:val="single" w:color="1D6FA8" w:sz="1"/>
              <w:bottom w:val="single" w:color="1D6FA8" w:sz="1"/>
              <w:right w:val="single" w:color="1D6FA8" w:sz="1"/>
            </w:tcBorders>
            <w:shd w:fill="1D6F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AI-аналитика</w:t>
            </w:r>
          </w:p>
        </w:tc>
        <w:tc>
          <w:tcPr>
            <w:tcW w:type="dxa" w:w="1450"/>
            <w:tcBorders>
              <w:top w:val="single" w:color="1D6FA8" w:sz="1"/>
              <w:left w:val="single" w:color="1D6FA8" w:sz="1"/>
              <w:bottom w:val="single" w:color="1D6FA8" w:sz="1"/>
              <w:right w:val="single" w:color="1D6FA8" w:sz="1"/>
            </w:tcBorders>
            <w:shd w:fill="1D6F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Возврат клиентов</w:t>
            </w:r>
          </w:p>
        </w:tc>
        <w:tc>
          <w:tcPr>
            <w:tcW w:type="dxa" w:w="1276"/>
            <w:tcBorders>
              <w:top w:val="single" w:color="1D6FA8" w:sz="1"/>
              <w:left w:val="single" w:color="1D6FA8" w:sz="1"/>
              <w:bottom w:val="single" w:color="1D6FA8" w:sz="1"/>
              <w:right w:val="single" w:color="1D6FA8" w:sz="1"/>
            </w:tcBorders>
            <w:shd w:fill="1D6F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Онбординг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A8"/>
                <w:sz w:val="18"/>
                <w:szCs w:val="18"/>
              </w:rPr>
              <w:t xml:space="preserve">BeautyOS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AI-директор / возврат клиентов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1 990–9 990 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Глубокая ★★★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Ядро продукта</w:t>
            </w:r>
          </w:p>
        </w:tc>
        <w:tc>
          <w:tcPr>
            <w:tcW w:type="dxa" w:w="1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 мин, CSV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DIKIDI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Запись и CRM для мастеров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990–4 990 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Базовая ★☆☆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Напоминания</w:t>
            </w:r>
          </w:p>
        </w:tc>
        <w:tc>
          <w:tcPr>
            <w:tcW w:type="dxa" w:w="1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Простой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YClients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Автоматизация записи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от 3 000 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Отчёты ★☆☆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Нет</w:t>
            </w:r>
          </w:p>
        </w:tc>
        <w:tc>
          <w:tcPr>
            <w:tcW w:type="dxa" w:w="1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Средний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Fresha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Маркетплейс + SaaS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% от записи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Нет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Нет</w:t>
            </w:r>
          </w:p>
        </w:tc>
        <w:tc>
          <w:tcPr>
            <w:tcW w:type="dxa" w:w="1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Простой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Salonist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Всё-в-одном для салонов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от $25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Базовая ★☆☆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Слабый</w:t>
            </w:r>
          </w:p>
        </w:tc>
        <w:tc>
          <w:tcPr>
            <w:tcW w:type="dxa" w:w="1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Средний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1D6FA8" w:sz="6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A8"/>
                <w:sz w:val="22"/>
                <w:szCs w:val="22"/>
              </w:rPr>
              <w:t xml:space="preserve">Вывод по конкурентам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A8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Прямых конкурентов в нише «AI для возврата клиентов» в России практически нет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A8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DIKIDI и YClients — скорее дополняющие продукты, чем прямые конкуренты: BeautyOS работает с уже накопленными в них данными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A8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Главная угроза — не конкуренты, а инертность целевой аудитории и низкая цифровая зрелость части рынка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A8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На международном рынке конкуренция выше (Vagaro, Boulevard) — до экспансии стоит укрепить позиции в РФ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1D6FA8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D6FA8"/>
          <w:sz w:val="28"/>
          <w:szCs w:val="28"/>
        </w:rPr>
        <w:t xml:space="preserve">3. Разбор лендинга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6FA8"/>
          <w:sz w:val="24"/>
          <w:szCs w:val="24"/>
        </w:rPr>
        <w:t xml:space="preserve">Оценка блоков по конверсионному потенциалу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026"/>
      </w:tblGrid>
      <w:tr>
        <w:trPr>
          <w:tblHeader/>
        </w:trPr>
        <w:tc>
          <w:tcPr>
            <w:tcW w:type="dxa" w:w="7000"/>
            <w:tcBorders>
              <w:top w:val="single" w:color="1D6FA8" w:sz="1"/>
              <w:left w:val="single" w:color="1D6FA8" w:sz="1"/>
              <w:bottom w:val="single" w:color="1D6FA8" w:sz="1"/>
              <w:right w:val="single" w:color="1D6FA8" w:sz="1"/>
            </w:tcBorders>
            <w:shd w:fill="1D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Блок лендинга</w:t>
            </w:r>
          </w:p>
        </w:tc>
        <w:tc>
          <w:tcPr>
            <w:tcW w:type="dxa" w:w="2026"/>
            <w:tcBorders>
              <w:top w:val="single" w:color="1D6FA8" w:sz="1"/>
              <w:left w:val="single" w:color="1D6FA8" w:sz="1"/>
              <w:bottom w:val="single" w:color="1D6FA8" w:sz="1"/>
              <w:right w:val="single" w:color="1D6FA8" w:sz="1"/>
            </w:tcBorders>
            <w:shd w:fill="1D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Оценка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Hero-секция (заголовок + подзаголовок)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9/10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шага онбординга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8/10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Дашборд — «говорит прямо»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8.5/10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Блок «4 AI-директора»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7510"/>
                <w:sz w:val="20"/>
                <w:szCs w:val="20"/>
              </w:rPr>
              <w:t xml:space="preserve">7/10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Тарифный блок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4/10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CTA в подвале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7510"/>
                <w:sz w:val="20"/>
                <w:szCs w:val="20"/>
              </w:rPr>
              <w:t xml:space="preserve">5.5/10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Что работает хорошо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Заголовок бьёт в боль без воды — это редкость для b2b-лендингов в бьюти.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Цифры 38% / ×4 в hero-секции создают немедленную вовлечённость.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Блок «3 шага до результата» снимает барьер сложности — онбординг кажется лёгким.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Дашборд с конкретными именами и суммами делает продукт осязаемым.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Раздел «4 AI-директора» создаёт ощущение полноценного продукта, а не одной фичи.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Критические проблемы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Нет ни одного реального кейса с цифрами. Владелец салона — практик, он не купит без доказательств.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  Крит.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Нет скриншотов или видео реального дашборда. Интерфейс описан, но не показан.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  Крит.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Тарифный блок не объясняет ценность — 9 990 ₽/мес звучит как расход, а не инвестиция.</w:t>
      </w:r>
      <w:r>
        <w:rPr>
          <w:rFonts w:ascii="Arial" w:cs="Arial" w:eastAsia="Arial" w:hAnsi="Arial"/>
          <w:b/>
          <w:bCs/>
          <w:color w:val="B07510"/>
          <w:sz w:val="20"/>
          <w:szCs w:val="20"/>
        </w:rPr>
        <w:t xml:space="preserve">  Важно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Нет блока FAQ / отработки возражений (безопасность данных, поддержка, интеграции).</w:t>
      </w:r>
      <w:r>
        <w:rPr>
          <w:rFonts w:ascii="Arial" w:cs="Arial" w:eastAsia="Arial" w:hAnsi="Arial"/>
          <w:b/>
          <w:bCs/>
          <w:color w:val="B07510"/>
          <w:sz w:val="20"/>
          <w:szCs w:val="20"/>
        </w:rPr>
        <w:t xml:space="preserve">  Важно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Нет видео или анимации продукта в действии.</w:t>
      </w:r>
      <w:r>
        <w:rPr>
          <w:rFonts w:ascii="Arial" w:cs="Arial" w:eastAsia="Arial" w:hAnsi="Arial"/>
          <w:b/>
          <w:bCs/>
          <w:color w:val="B07510"/>
          <w:sz w:val="20"/>
          <w:szCs w:val="20"/>
        </w:rPr>
        <w:t xml:space="preserve">  Важно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Лендинг и дашборд ощущаются как разные продукты — нет единой дизайн-системы.</w:t>
      </w:r>
      <w:r>
        <w:rPr>
          <w:rFonts w:ascii="Arial" w:cs="Arial" w:eastAsia="Arial" w:hAnsi="Arial"/>
          <w:b/>
          <w:bCs/>
          <w:color w:val="B07510"/>
          <w:sz w:val="20"/>
          <w:szCs w:val="20"/>
        </w:rPr>
        <w:t xml:space="preserve">  Важно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1D6FA8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D6FA8"/>
          <w:sz w:val="28"/>
          <w:szCs w:val="28"/>
        </w:rPr>
        <w:t xml:space="preserve">4. Приоритетные рекомендации</w:t>
      </w:r>
    </w:p>
    <w:p>
      <w:pPr>
        <w:spacing w:after="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D6FA8"/>
          <w:sz w:val="22"/>
          <w:szCs w:val="22"/>
        </w:rPr>
        <w:t xml:space="preserve">01.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Добавить 2–3 кейса с реальными цифрами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Формат: «Салон Ольги, Москва: вернули 23 клиента за первый месяц, выручка +187 000 ₽». Без этого все обещания остаются воздухом. Это самое важное действие — даже один честный кейс увеличит конверсию лендинга в 2–3 раза.</w:t>
      </w:r>
    </w:p>
    <w:p>
      <w:pPr>
        <w:spacing w:after="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D6FA8"/>
          <w:sz w:val="22"/>
          <w:szCs w:val="22"/>
        </w:rPr>
        <w:t xml:space="preserve">02.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Встроить живую демо-гифку или 60-секундное видео дашборда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Показать реальный интерфейс: список «позвонить сегодня», персональный скрипт, прогноз выручки в рублях. Это главный аргумент продажи — пользователь должен увидеть продукт в действии до регистрации.</w:t>
      </w:r>
    </w:p>
    <w:p>
      <w:pPr>
        <w:spacing w:after="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D6FA8"/>
          <w:sz w:val="22"/>
          <w:szCs w:val="22"/>
        </w:rPr>
        <w:t xml:space="preserve">03.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Переработать тарифный блок — добавить анкор-ценности и ROI-калькулятор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Для каждого плана написать «Подходит если у вас X клиентов». Добавить простой калькулятор: «При базе 300 клиентов и возвратности 60% — продукт окупается за 2 недели». Это переводит разговор с расхода на инвестицию.</w:t>
      </w:r>
    </w:p>
    <w:p>
      <w:pPr>
        <w:spacing w:after="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D6FA8"/>
          <w:sz w:val="22"/>
          <w:szCs w:val="22"/>
        </w:rPr>
        <w:t xml:space="preserve">04.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Объединить брендинг лендинга и дашборда в единую дизайн-систему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Сейчас лендинг и дашборд ощущаются как разные продукты. Нужна единая система: цвета, типографика, компоненты кнопок, карточек, иконок. Когда потенциальный клиент переходит из лендинга в демо — он должен почувствовать: это единый, продуманный продукт.</w:t>
      </w:r>
    </w:p>
    <w:p>
      <w:pPr>
        <w:spacing w:after="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D6FA8"/>
          <w:sz w:val="22"/>
          <w:szCs w:val="22"/>
        </w:rPr>
        <w:t xml:space="preserve">05.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Добавить блок FAQ / отработки возражений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Ответить на главные барьеры: «Мои данные в безопасности?», «Что если у меня нет CSV?», «Как долго до первых результатов?», «Есть ли интеграция с DIKIDI/YClients?». Эти вопросы режут конверсию — они должны быть закрыты до регистрации.</w:t>
      </w:r>
    </w:p>
    <w:p>
      <w:pPr>
        <w:spacing w:after="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D6FA8"/>
          <w:sz w:val="22"/>
          <w:szCs w:val="22"/>
        </w:rPr>
        <w:t xml:space="preserve">06.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Создать единый продажный нарратив для B2B-продаж и инвесторов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Один документ/презентация: проблема → решение → доказательства → цена → действие. Сейчас нарратив рассыпан по блокам лендинга. Нужна единая «история» продукта, которую можно показывать на встречах, отправлять письмом и использовать в питче.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1D6FA8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D6FA8"/>
          <w:sz w:val="28"/>
          <w:szCs w:val="28"/>
        </w:rPr>
        <w:t xml:space="preserve">5. Стратегическое позиционирование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Для устойчивого роста BeautyOS необходимо выбрать и закрепить одну позицию в голове целевой аудитории. Ниже — три варианта с оценкой.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426"/>
      </w:tblGrid>
      <w:tr>
        <w:trPr>
          <w:tblHeader/>
        </w:trPr>
        <w:tc>
          <w:tcPr>
            <w:tcW w:type="dxa" w:w="3200"/>
            <w:tcBorders>
              <w:top w:val="single" w:color="1D6FA8" w:sz="1"/>
              <w:left w:val="single" w:color="1D6FA8" w:sz="1"/>
              <w:bottom w:val="single" w:color="1D6FA8" w:sz="1"/>
              <w:right w:val="single" w:color="1D6FA8" w:sz="1"/>
            </w:tcBorders>
            <w:shd w:fill="1D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Стратегия</w:t>
            </w:r>
          </w:p>
        </w:tc>
        <w:tc>
          <w:tcPr>
            <w:tcW w:type="dxa" w:w="1400"/>
            <w:tcBorders>
              <w:top w:val="single" w:color="1D6FA8" w:sz="1"/>
              <w:left w:val="single" w:color="1D6FA8" w:sz="1"/>
              <w:bottom w:val="single" w:color="1D6FA8" w:sz="1"/>
              <w:right w:val="single" w:color="1D6FA8" w:sz="1"/>
            </w:tcBorders>
            <w:shd w:fill="1D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Вердикт</w:t>
            </w:r>
          </w:p>
        </w:tc>
        <w:tc>
          <w:tcPr>
            <w:tcW w:type="dxa" w:w="4426"/>
            <w:tcBorders>
              <w:top w:val="single" w:color="1D6FA8" w:sz="1"/>
              <w:left w:val="single" w:color="1D6FA8" w:sz="1"/>
              <w:bottom w:val="single" w:color="1D6FA8" w:sz="1"/>
              <w:right w:val="single" w:color="1D6FA8" w:sz="1"/>
            </w:tcBorders>
            <w:shd w:fill="1D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Обоснование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«Финансовый советник для салона»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9"/>
                <w:szCs w:val="19"/>
              </w:rPr>
              <w:t xml:space="preserve">Рекомендуется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Акцент на деньгах, а не на AI. Конкуренты говорят про функции — вы говорите про прибыль. Это незанятая позиция.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07510"/>
                <w:sz w:val="20"/>
                <w:szCs w:val="20"/>
              </w:rPr>
              <w:t xml:space="preserve">«AI для красоты»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07510"/>
                <w:sz w:val="19"/>
                <w:szCs w:val="19"/>
              </w:rPr>
              <w:t xml:space="preserve">Риск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Слишком широко. Теряется конкретика. Владелец салона хочет деньги, не технологию ради технологии.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«CRM для бьюти»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Не рекомендуется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Слишком тесная конкуренция с DIKIDI/YClients. Проигрышная битва на чужом поле.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1D6FA8" w:sz="6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A8"/>
                <w:sz w:val="22"/>
                <w:szCs w:val="22"/>
              </w:rPr>
              <w:t xml:space="preserve">Рекомендуемая формулировка позиционирования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A8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BeautyOS — финансовый советник для салона красоты. Каждое утро говорит: кому позвонить, что сказать и сколько вы заработаете.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1D6FA8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D6FA8"/>
          <w:sz w:val="28"/>
          <w:szCs w:val="28"/>
        </w:rPr>
        <w:t xml:space="preserve">6. Единая система: лендинг + дашборд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Для продажи продукта необходимо, чтобы лендинг и дашборд воспринимались как одна целостная система. Ключевые принципы: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Визуальная целостность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Единая цветовая схема: один primary-акцент, один success-цвет, единая типографика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Компоненты UI дашборда должны «рифмоваться» с элементами лендинга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Один и тот же тон голоса: прямой, конкретный, на стороне владельца бизнеса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Путь пользователя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Лендинг → демо-дашборд → регистрация должны быть одним плавным потоком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Демо-дашборд должен показывать тот же язык («Позвони 7 клиентам мастера Анны»), что и лендинг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После регистрации — онбординг, который воспроизводит обещание лендинга в течение 2 минут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Продажный сценарий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Для показа клиентам: лендинг → живая демонстрация дашборда → кейсы → тарифы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Для показа инвесторам: питч-дек, который повторяет нарратив лендинга с добавлением метрик роста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Для партнёрских переговоров (DIKIDI, YClients): позиционирование как дополнение, а не конкурент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1D6FA8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D6FA8"/>
          <w:sz w:val="28"/>
          <w:szCs w:val="28"/>
        </w:rPr>
        <w:t xml:space="preserve">7. Следующие шаги — приоритет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1500"/>
        <w:gridCol w:w="1926"/>
      </w:tblGrid>
      <w:tr>
        <w:trPr>
          <w:tblHeader/>
        </w:trPr>
        <w:tc>
          <w:tcPr>
            <w:tcW w:type="dxa" w:w="600"/>
            <w:tcBorders>
              <w:top w:val="single" w:color="1D6FA8" w:sz="1"/>
              <w:left w:val="single" w:color="1D6FA8" w:sz="1"/>
              <w:bottom w:val="single" w:color="1D6FA8" w:sz="1"/>
              <w:right w:val="single" w:color="1D6FA8" w:sz="1"/>
            </w:tcBorders>
            <w:shd w:fill="1D6F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00"/>
            <w:tcBorders>
              <w:top w:val="single" w:color="1D6FA8" w:sz="1"/>
              <w:left w:val="single" w:color="1D6FA8" w:sz="1"/>
              <w:bottom w:val="single" w:color="1D6FA8" w:sz="1"/>
              <w:right w:val="single" w:color="1D6FA8" w:sz="1"/>
            </w:tcBorders>
            <w:shd w:fill="1D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1500"/>
            <w:tcBorders>
              <w:top w:val="single" w:color="1D6FA8" w:sz="1"/>
              <w:left w:val="single" w:color="1D6FA8" w:sz="1"/>
              <w:bottom w:val="single" w:color="1D6FA8" w:sz="1"/>
              <w:right w:val="single" w:color="1D6FA8" w:sz="1"/>
            </w:tcBorders>
            <w:shd w:fill="1D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Срок</w:t>
            </w:r>
          </w:p>
        </w:tc>
        <w:tc>
          <w:tcPr>
            <w:tcW w:type="dxa" w:w="1926"/>
            <w:tcBorders>
              <w:top w:val="single" w:color="1D6FA8" w:sz="1"/>
              <w:left w:val="single" w:color="1D6FA8" w:sz="1"/>
              <w:bottom w:val="single" w:color="1D6FA8" w:sz="1"/>
              <w:right w:val="single" w:color="1D6FA8" w:sz="1"/>
            </w:tcBorders>
            <w:shd w:fill="1D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Влияние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A8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Собрать 2–3 кейса с реальными цифрами и разместить на лендинге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1–2 нед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9E75"/>
                <w:sz w:val="20"/>
                <w:szCs w:val="20"/>
              </w:rPr>
              <w:t xml:space="preserve">Конверсия ×2–3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A8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Снять 60-сек видео демо дашборда и встроить в лендинг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1 нед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9E75"/>
                <w:sz w:val="20"/>
                <w:szCs w:val="20"/>
              </w:rPr>
              <w:t xml:space="preserve">Доверие ++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A8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Переписать тарифный блок с ROI-калькулятором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3–5 дней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9E75"/>
                <w:sz w:val="20"/>
                <w:szCs w:val="20"/>
              </w:rPr>
              <w:t xml:space="preserve">Конверсия в оплату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A8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Создать единый гайдлайн дизайн-системы (цвета, шрифты, компоненты)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2–3 нед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9E75"/>
                <w:sz w:val="20"/>
                <w:szCs w:val="20"/>
              </w:rPr>
              <w:t xml:space="preserve">Бренд-целостность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A8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Добавить блок FAQ на лендинг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2–3 дня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9E75"/>
                <w:sz w:val="20"/>
                <w:szCs w:val="20"/>
              </w:rPr>
              <w:t xml:space="preserve">Снижение барьеров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A8"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Разработать питч-дек для продаж и инвесторов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2 нед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9E75"/>
                <w:sz w:val="20"/>
                <w:szCs w:val="20"/>
              </w:rPr>
              <w:t xml:space="preserve">Продажи B2B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top w:val="single" w:color="1D6FA8" w:sz="6" w:space="1"/>
        </w:pBdr>
        <w:spacing w:after="80" w:before="20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BeautyOS · Маркетинговый анализ · 2025 · beautyos-bice.vercel.app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D6FA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2026-06-11T06:33:46.353Z</dcterms:created>
  <dcterms:modified xsi:type="dcterms:W3CDTF">2026-06-11T06:33:46.353Z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