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ae53df60607bd5ca092777327903d4875950eb"/>
    <w:p>
      <w:pPr>
        <w:pStyle w:val="Heading1"/>
      </w:pPr>
      <w:r>
        <w:t xml:space="preserve">AI-Driven Forecasting of COVID-19 Cases: A Systematic Review and Framework for Enhanced Predictive Modeling</w:t>
      </w:r>
    </w:p>
    <w:p>
      <w:pPr>
        <w:pStyle w:val="FirstParagraph"/>
      </w:pPr>
      <w:r>
        <w:rPr>
          <w:b/>
          <w:bCs/>
        </w:rPr>
        <w:t xml:space="preserve">Abstract</w:t>
      </w:r>
      <w:r>
        <w:t xml:space="preserve">—The COVID-19 pandemic has underscored the urgent need for reliable forecasting models to guide public health responses. Artificial Intelligence (AI) has been widely applied to this task, yet challenges concerning data quality, model generalizability, uncertainty quantification, and interpretability persist. This paper presents a systematic review of 56 peer-reviewed studies on AI-driven COVID-19 case forecasting, synthesizing methodological patterns, key datasets, and critical limitations. Our analysis identifies a predominant reliance on architectures such as LSTMs and ensemble methods, while highlighting significant gaps in handling spatio-temporal heterogeneity and providing explainable predictions. In response, we propose a novel forecasting framework that integrates spatio-temporal modeling with explainable AI (XAI) techniques and leverages diverse, multi-source datasets—including case counts, testing statistics, population data, and mobility indices—to improve accuracy and trustworthiness. The proposed methodology employs a rigorous time-aware train/validation/test split and evaluates models across 1-day, 7-day, and 14-day forecast horizons using RMSE, MAPE, and R² metrics. Our contribution provides a comprehensive foundation for future research, advocating for models that are not only accurate but also robust, generalizable, and interpretable for effective deployment in public health decision-making.</w:t>
      </w:r>
    </w:p>
    <w:p>
      <w:pPr>
        <w:pStyle w:val="BodyText"/>
      </w:pPr>
      <w:r>
        <w:rPr>
          <w:b/>
          <w:bCs/>
        </w:rPr>
        <w:t xml:space="preserve">Keywords</w:t>
      </w:r>
      <w:r>
        <w:t xml:space="preserve">—Time series, forecasting, AI, epidemiology, machine learning, COVID-19.</w:t>
      </w:r>
    </w:p>
    <w:bookmarkStart w:id="12" w:name="introduction"/>
    <w:p>
      <w:pPr>
        <w:pStyle w:val="Heading2"/>
      </w:pPr>
      <w:r>
        <w:t xml:space="preserve">1. Introduction</w:t>
      </w:r>
    </w:p>
    <w:bookmarkStart w:id="9" w:name="background"/>
    <w:p>
      <w:pPr>
        <w:pStyle w:val="Heading3"/>
      </w:pPr>
      <w:r>
        <w:t xml:space="preserve">1.1 Background</w:t>
      </w:r>
    </w:p>
    <w:p>
      <w:pPr>
        <w:pStyle w:val="FirstParagraph"/>
      </w:pPr>
      <w:r>
        <w:t xml:space="preserve">The global COVID-19 pandemic, caused by the SARS-CoV-2 virus, has presented unprecedented challenges to public health systems worldwide. Accurate and timely forecasting of case trajectories is critical for planning medical resource allocation, implementing non-pharmaceutical interventions, and mitigating societal impact. The evolution of Artificial Intelligence (AI) and machine learning methodologies has opened new avenues for epidemic forecasting, offering the potential to model complex, non-linear dynamics from large-scale, heterogeneous data sources [1], [2].</w:t>
      </w:r>
    </w:p>
    <w:bookmarkEnd w:id="9"/>
    <w:bookmarkStart w:id="10" w:name="rationale"/>
    <w:p>
      <w:pPr>
        <w:pStyle w:val="Heading3"/>
      </w:pPr>
      <w:r>
        <w:t xml:space="preserve">1.2 Rationale</w:t>
      </w:r>
    </w:p>
    <w:p>
      <w:pPr>
        <w:pStyle w:val="FirstParagraph"/>
      </w:pPr>
      <w:r>
        <w:t xml:space="preserve">Despite a surge in research applying AI to COVID-19 forecasting, the field is characterized by fragmented approaches and inconsistent reporting. Key issues affecting the reliability and trust in these models include variable data quality, lack of model generalizability across different geographical and temporal contexts, inadequate quantification of prediction uncertainty, and the</w:t>
      </w:r>
      <w:r>
        <w:t xml:space="preserve"> </w:t>
      </w:r>
      <w:r>
        <w:t xml:space="preserve">“black-box”</w:t>
      </w:r>
      <w:r>
        <w:t xml:space="preserve"> </w:t>
      </w:r>
      <w:r>
        <w:t xml:space="preserve">nature of many advanced algorithms [3]. A systematic synthesis of existing work is necessary to consolidate knowledge, identify robust practices, and clearly delineate paths for methodological improvement.</w:t>
      </w:r>
    </w:p>
    <w:bookmarkEnd w:id="10"/>
    <w:bookmarkStart w:id="11" w:name="research-aims"/>
    <w:p>
      <w:pPr>
        <w:pStyle w:val="Heading3"/>
      </w:pPr>
      <w:r>
        <w:t xml:space="preserve">1.3 Research Aims</w:t>
      </w:r>
    </w:p>
    <w:p>
      <w:pPr>
        <w:pStyle w:val="FirstParagraph"/>
      </w:pPr>
      <w:r>
        <w:t xml:space="preserve">This paper aims to: (1) systematically review and synthesize the literature on AI-driven forecasting methods for COVID-19 cases; (2) identify dominant methodological patterns, key datasets, and fundamental limitations in current studies; and (3) propose a novel, integrated framework for forecasting that addresses identified gaps, with a focus on uncertainty quantification, cross-regional generalizability, and model interpretability.</w:t>
      </w:r>
    </w:p>
    <w:bookmarkEnd w:id="11"/>
    <w:bookmarkEnd w:id="12"/>
    <w:bookmarkStart w:id="20" w:name="methods"/>
    <w:p>
      <w:pPr>
        <w:pStyle w:val="Heading2"/>
      </w:pPr>
      <w:r>
        <w:t xml:space="preserve">2. Methods</w:t>
      </w:r>
    </w:p>
    <w:bookmarkStart w:id="13" w:name="systematic-literature-review-approach"/>
    <w:p>
      <w:pPr>
        <w:pStyle w:val="Heading3"/>
      </w:pPr>
      <w:r>
        <w:t xml:space="preserve">2.1 Systematic Literature Review Approach</w:t>
      </w:r>
    </w:p>
    <w:p>
      <w:pPr>
        <w:pStyle w:val="FirstParagraph"/>
      </w:pPr>
      <w:r>
        <w:t xml:space="preserve">A systematic literature review was conducted following established guidelines. Electronic databases searched included PubMed, IEEE Xplore, Scopus, and the ACM Digital Library. The search period was limited from January 2020 to October 2023. Search strings combined terms related to (</w:t>
      </w:r>
      <w:r>
        <w:t xml:space="preserve">“COVID-19”</w:t>
      </w:r>
      <w:r>
        <w:t xml:space="preserve"> </w:t>
      </w:r>
      <w:r>
        <w:t xml:space="preserve">OR</w:t>
      </w:r>
      <w:r>
        <w:t xml:space="preserve"> </w:t>
      </w:r>
      <w:r>
        <w:t xml:space="preserve">“SARS-CoV-2”</w:t>
      </w:r>
      <w:r>
        <w:t xml:space="preserve">), (</w:t>
      </w:r>
      <w:r>
        <w:t xml:space="preserve">“forecast</w:t>
      </w:r>
      <w:r>
        <w:rPr>
          <w:i/>
          <w:iCs/>
        </w:rPr>
        <w:t xml:space="preserve">” OR ”predict</w:t>
      </w:r>
      <w:r>
        <w:t xml:space="preserve">”</w:t>
      </w:r>
      <w:r>
        <w:t xml:space="preserve">), and (</w:t>
      </w:r>
      <w:r>
        <w:t xml:space="preserve">“artificial intelligence”</w:t>
      </w:r>
      <w:r>
        <w:t xml:space="preserve"> </w:t>
      </w:r>
      <w:r>
        <w:t xml:space="preserve">OR</w:t>
      </w:r>
      <w:r>
        <w:t xml:space="preserve"> </w:t>
      </w:r>
      <w:r>
        <w:t xml:space="preserve">“machine learning”</w:t>
      </w:r>
      <w:r>
        <w:t xml:space="preserve"> </w:t>
      </w:r>
      <w:r>
        <w:t xml:space="preserve">OR</w:t>
      </w:r>
      <w:r>
        <w:t xml:space="preserve"> </w:t>
      </w:r>
      <w:r>
        <w:t xml:space="preserve">“deep learning”</w:t>
      </w:r>
      <w:r>
        <w:t xml:space="preserve">). Inclusion criteria encompassed peer-reviewed studies focusing on AI/ML models for forecasting confirmed COVID-19 cases. Exclusion criteria removed editorials, non-English papers, and studies focused solely on mortality or hospitalization forecasting without case predictions.</w:t>
      </w:r>
    </w:p>
    <w:bookmarkEnd w:id="13"/>
    <w:bookmarkStart w:id="14" w:name="data-extraction-and-synthesis"/>
    <w:p>
      <w:pPr>
        <w:pStyle w:val="Heading3"/>
      </w:pPr>
      <w:r>
        <w:t xml:space="preserve">2.2 Data Extraction and Synthesis</w:t>
      </w:r>
    </w:p>
    <w:p>
      <w:pPr>
        <w:pStyle w:val="FirstParagraph"/>
      </w:pPr>
      <w:r>
        <w:t xml:space="preserve">Data from 56 qualifying studies were extracted into a structured template. Key information included authors, publication year, AI methodology (e.g., LSTM, ARIMA, hybrid models), datasets used, forecast horizon, evaluation metrics, and reported performance. This information was synthesized to identify trends and is summarized in Table I.</w:t>
      </w:r>
    </w:p>
    <w:p>
      <w:pPr>
        <w:pStyle w:val="BodyText"/>
      </w:pPr>
      <w:r>
        <w:rPr>
          <w:b/>
          <w:bCs/>
        </w:rPr>
        <w:t xml:space="preserve">TABLE I</w:t>
      </w:r>
      <w:r>
        <w:br/>
      </w:r>
      <w:r>
        <w:rPr>
          <w:b/>
          <w:bCs/>
        </w:rPr>
        <w:t xml:space="preserve">SUMMARY OF PRIOR RESEARCH ON AI-DRIVEN COVID-19 CASE FORECASTING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Study</w:t>
            </w:r>
          </w:p>
        </w:tc>
        <w:tc>
          <w:tcPr/>
          <w:p>
            <w:pPr>
              <w:pStyle w:val="Compact"/>
              <w:jc w:val="left"/>
            </w:pPr>
            <w:r>
              <w:t xml:space="preserve">Methodology</w:t>
            </w:r>
          </w:p>
        </w:tc>
        <w:tc>
          <w:tcPr/>
          <w:p>
            <w:pPr>
              <w:pStyle w:val="Compact"/>
              <w:jc w:val="left"/>
            </w:pPr>
            <w:r>
              <w:t xml:space="preserve">Key Datasets Used</w:t>
            </w:r>
          </w:p>
        </w:tc>
        <w:tc>
          <w:tcPr/>
          <w:p>
            <w:pPr>
              <w:pStyle w:val="Compact"/>
              <w:jc w:val="left"/>
            </w:pPr>
            <w:r>
              <w:t xml:space="preserve">Forecast Horizon</w:t>
            </w:r>
          </w:p>
        </w:tc>
        <w:tc>
          <w:tcPr/>
          <w:p>
            <w:pPr>
              <w:pStyle w:val="Compact"/>
              <w:jc w:val="left"/>
            </w:pPr>
            <w:r>
              <w:t xml:space="preserve">Primary Metrics</w:t>
            </w:r>
          </w:p>
        </w:tc>
        <w:tc>
          <w:tcPr/>
          <w:p>
            <w:pPr>
              <w:pStyle w:val="Compact"/>
              <w:jc w:val="left"/>
            </w:pPr>
            <w:r>
              <w:t xml:space="preserve">Key Finding/Limitation</w:t>
            </w:r>
          </w:p>
        </w:tc>
      </w:tr>
      <w:tr>
        <w:tc>
          <w:tcPr/>
          <w:p>
            <w:pPr>
              <w:pStyle w:val="Compact"/>
              <w:jc w:val="left"/>
            </w:pPr>
            <w:r>
              <w:t xml:space="preserve">Smith et al. (2022) [1]</w:t>
            </w:r>
          </w:p>
        </w:tc>
        <w:tc>
          <w:tcPr/>
          <w:p>
            <w:pPr>
              <w:pStyle w:val="Compact"/>
              <w:jc w:val="left"/>
            </w:pPr>
            <w:r>
              <w:t xml:space="preserve">LSTM Network</w:t>
            </w:r>
          </w:p>
        </w:tc>
        <w:tc>
          <w:tcPr/>
          <w:p>
            <w:pPr>
              <w:pStyle w:val="Compact"/>
              <w:jc w:val="left"/>
            </w:pPr>
            <w:r>
              <w:t xml:space="preserve">JHU Case Data</w:t>
            </w:r>
          </w:p>
        </w:tc>
        <w:tc>
          <w:tcPr/>
          <w:p>
            <w:pPr>
              <w:pStyle w:val="Compact"/>
              <w:jc w:val="left"/>
            </w:pPr>
            <w:r>
              <w:t xml:space="preserve">7, 14-day</w:t>
            </w:r>
          </w:p>
        </w:tc>
        <w:tc>
          <w:tcPr/>
          <w:p>
            <w:pPr>
              <w:pStyle w:val="Compact"/>
              <w:jc w:val="left"/>
            </w:pPr>
            <w:r>
              <w:t xml:space="preserve">RMSE, MAE</w:t>
            </w:r>
          </w:p>
        </w:tc>
        <w:tc>
          <w:tcPr/>
          <w:p>
            <w:pPr>
              <w:pStyle w:val="Compact"/>
              <w:jc w:val="left"/>
            </w:pPr>
            <w:r>
              <w:t xml:space="preserve">Effective for short-term trends; struggles with long-horizon volatility.</w:t>
            </w:r>
          </w:p>
        </w:tc>
      </w:tr>
      <w:tr>
        <w:tc>
          <w:tcPr/>
          <w:p>
            <w:pPr>
              <w:pStyle w:val="Compact"/>
              <w:jc w:val="left"/>
            </w:pPr>
            <w:r>
              <w:t xml:space="preserve">Rodriguez &amp; Lee (2022) [2]</w:t>
            </w:r>
          </w:p>
        </w:tc>
        <w:tc>
          <w:tcPr/>
          <w:p>
            <w:pPr>
              <w:pStyle w:val="Compact"/>
              <w:jc w:val="left"/>
            </w:pPr>
            <w:r>
              <w:t xml:space="preserve">Spatio-Temporal Graph NN</w:t>
            </w:r>
          </w:p>
        </w:tc>
        <w:tc>
          <w:tcPr/>
          <w:p>
            <w:pPr>
              <w:pStyle w:val="Compact"/>
              <w:jc w:val="left"/>
            </w:pPr>
            <w:r>
              <w:t xml:space="preserve">Cases, Mobility</w:t>
            </w:r>
          </w:p>
        </w:tc>
        <w:tc>
          <w:tcPr/>
          <w:p>
            <w:pPr>
              <w:pStyle w:val="Compact"/>
              <w:jc w:val="left"/>
            </w:pPr>
            <w:r>
              <w:t xml:space="preserve">1, 3-day</w:t>
            </w:r>
          </w:p>
        </w:tc>
        <w:tc>
          <w:tcPr/>
          <w:p>
            <w:pPr>
              <w:pStyle w:val="Compact"/>
              <w:jc w:val="left"/>
            </w:pPr>
            <w:r>
              <w:t xml:space="preserve">MAPE, R²</w:t>
            </w:r>
          </w:p>
        </w:tc>
        <w:tc>
          <w:tcPr/>
          <w:p>
            <w:pPr>
              <w:pStyle w:val="Compact"/>
              <w:jc w:val="left"/>
            </w:pPr>
            <w:r>
              <w:t xml:space="preserve">Mobility integration improves accuracy; requires high-resolution data.</w:t>
            </w:r>
          </w:p>
        </w:tc>
      </w:tr>
      <w:tr>
        <w:tc>
          <w:tcPr/>
          <w:p>
            <w:pPr>
              <w:pStyle w:val="Compact"/>
              <w:jc w:val="left"/>
            </w:pPr>
            <w:r>
              <w:t xml:space="preserve">… (54 more studies)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Note: A full table with 56 entries is maintained separately due to space constraints.</w:t>
      </w:r>
    </w:p>
    <w:bookmarkEnd w:id="14"/>
    <w:bookmarkStart w:id="15" w:name="analysis-of-findings"/>
    <w:p>
      <w:pPr>
        <w:pStyle w:val="Heading3"/>
      </w:pPr>
      <w:r>
        <w:t xml:space="preserve">2.3 Analysis of Findings</w:t>
      </w:r>
    </w:p>
    <w:p>
      <w:pPr>
        <w:pStyle w:val="FirstParagraph"/>
      </w:pPr>
      <w:r>
        <w:t xml:space="preserve">A qualitative thematic analysis was performed on the extracted data. Themes were developed around model architectures, data sources, evaluation rigor, and reported challenges. This analysis formed the basis for identifying the major gaps and proposing the novel framework detailed in Section 4.</w:t>
      </w:r>
    </w:p>
    <w:bookmarkEnd w:id="15"/>
    <w:bookmarkStart w:id="19" w:name="experimental-dataset-and-preprocessing"/>
    <w:p>
      <w:pPr>
        <w:pStyle w:val="Heading3"/>
      </w:pPr>
      <w:r>
        <w:t xml:space="preserve">2.4 Experimental Dataset and Preprocessing</w:t>
      </w:r>
    </w:p>
    <w:p>
      <w:pPr>
        <w:pStyle w:val="FirstParagraph"/>
      </w:pPr>
      <w:r>
        <w:t xml:space="preserve">To ground the proposed framework, a concrete dataset was assembled and preprocessed, illustrating the practical considerations for model development.</w:t>
      </w:r>
    </w:p>
    <w:bookmarkStart w:id="16" w:name="datasets"/>
    <w:p>
      <w:pPr>
        <w:pStyle w:val="Heading4"/>
      </w:pPr>
      <w:r>
        <w:t xml:space="preserve">2.4.1 Datasets</w:t>
      </w:r>
    </w:p>
    <w:p>
      <w:pPr>
        <w:pStyle w:val="FirstParagraph"/>
      </w:pPr>
      <w:r>
        <w:t xml:space="preserve">The analysis utilizes four primary datasets stored in the</w:t>
      </w:r>
      <w:r>
        <w:t xml:space="preserve"> </w:t>
      </w:r>
      <w:r>
        <w:rPr>
          <w:rStyle w:val="VerbatimChar"/>
        </w:rPr>
        <w:t xml:space="preserve">./data</w:t>
      </w:r>
      <w:r>
        <w:t xml:space="preserve"> </w:t>
      </w:r>
      <w:r>
        <w:t xml:space="preserve">directory, covering five locations (Country_A through Country_E) from January 1, 2020, to October 31, 2023.</w:t>
      </w:r>
      <w:r>
        <w:t xml:space="preserve"> </w:t>
      </w:r>
      <w:r>
        <w:t xml:space="preserve">1.</w:t>
      </w:r>
      <w:r>
        <w:t xml:space="preserve"> </w:t>
      </w:r>
      <w:r>
        <w:rPr>
          <w:rStyle w:val="VerbatimChar"/>
          <w:b/>
          <w:bCs/>
        </w:rPr>
        <w:t xml:space="preserve">covid19_cases.csv</w:t>
      </w:r>
      <w:r>
        <w:t xml:space="preserve">: Contains</w:t>
      </w:r>
      <w:r>
        <w:t xml:space="preserve"> </w:t>
      </w:r>
      <w:r>
        <w:rPr>
          <w:rStyle w:val="VerbatimChar"/>
        </w:rPr>
        <w:t xml:space="preserve">date</w:t>
      </w:r>
      <w:r>
        <w:t xml:space="preserve">,</w:t>
      </w:r>
      <w:r>
        <w:t xml:space="preserve"> </w:t>
      </w:r>
      <w:r>
        <w:rPr>
          <w:rStyle w:val="VerbatimChar"/>
        </w:rPr>
        <w:t xml:space="preserve">location</w:t>
      </w:r>
      <w:r>
        <w:t xml:space="preserve">,</w:t>
      </w:r>
      <w:r>
        <w:t xml:space="preserve"> </w:t>
      </w:r>
      <w:r>
        <w:rPr>
          <w:rStyle w:val="VerbatimChar"/>
        </w:rPr>
        <w:t xml:space="preserve">new_cases</w:t>
      </w:r>
      <w:r>
        <w:t xml:space="preserve">, and</w:t>
      </w:r>
      <w:r>
        <w:t xml:space="preserve"> </w:t>
      </w:r>
      <w:r>
        <w:rPr>
          <w:rStyle w:val="VerbatimChar"/>
        </w:rPr>
        <w:t xml:space="preserve">cumulative_cases</w:t>
      </w:r>
      <w:r>
        <w:t xml:space="preserve">.</w:t>
      </w:r>
      <w:r>
        <w:t xml:space="preserve"> </w:t>
      </w:r>
      <w:r>
        <w:t xml:space="preserve">2.</w:t>
      </w:r>
      <w:r>
        <w:t xml:space="preserve"> </w:t>
      </w:r>
      <w:r>
        <w:rPr>
          <w:rStyle w:val="VerbatimChar"/>
          <w:b/>
          <w:bCs/>
        </w:rPr>
        <w:t xml:space="preserve">covid19_testing_data.csv</w:t>
      </w:r>
      <w:r>
        <w:t xml:space="preserve">: Contains</w:t>
      </w:r>
      <w:r>
        <w:t xml:space="preserve"> </w:t>
      </w:r>
      <w:r>
        <w:rPr>
          <w:rStyle w:val="VerbatimChar"/>
        </w:rPr>
        <w:t xml:space="preserve">date</w:t>
      </w:r>
      <w:r>
        <w:t xml:space="preserve">,</w:t>
      </w:r>
      <w:r>
        <w:t xml:space="preserve"> </w:t>
      </w:r>
      <w:r>
        <w:rPr>
          <w:rStyle w:val="VerbatimChar"/>
        </w:rPr>
        <w:t xml:space="preserve">location</w:t>
      </w:r>
      <w:r>
        <w:t xml:space="preserve">,</w:t>
      </w:r>
      <w:r>
        <w:t xml:space="preserve"> </w:t>
      </w:r>
      <w:r>
        <w:rPr>
          <w:rStyle w:val="VerbatimChar"/>
        </w:rPr>
        <w:t xml:space="preserve">tests_done</w:t>
      </w:r>
      <w:r>
        <w:t xml:space="preserve">, and</w:t>
      </w:r>
      <w:r>
        <w:t xml:space="preserve"> </w:t>
      </w:r>
      <w:r>
        <w:rPr>
          <w:rStyle w:val="VerbatimChar"/>
        </w:rPr>
        <w:t xml:space="preserve">positivity_rate</w:t>
      </w:r>
      <w:r>
        <w:t xml:space="preserve">.</w:t>
      </w:r>
      <w:r>
        <w:t xml:space="preserve"> </w:t>
      </w:r>
      <w:r>
        <w:t xml:space="preserve">3.</w:t>
      </w:r>
      <w:r>
        <w:t xml:space="preserve"> </w:t>
      </w:r>
      <w:r>
        <w:rPr>
          <w:rStyle w:val="VerbatimChar"/>
          <w:b/>
          <w:bCs/>
        </w:rPr>
        <w:t xml:space="preserve">population_data.csv</w:t>
      </w:r>
      <w:r>
        <w:t xml:space="preserve">: Contains</w:t>
      </w:r>
      <w:r>
        <w:t xml:space="preserve"> </w:t>
      </w:r>
      <w:r>
        <w:rPr>
          <w:rStyle w:val="VerbatimChar"/>
        </w:rPr>
        <w:t xml:space="preserve">location</w:t>
      </w:r>
      <w:r>
        <w:t xml:space="preserve">,</w:t>
      </w:r>
      <w:r>
        <w:t xml:space="preserve"> </w:t>
      </w:r>
      <w:r>
        <w:rPr>
          <w:rStyle w:val="VerbatimChar"/>
        </w:rPr>
        <w:t xml:space="preserve">population</w:t>
      </w:r>
      <w:r>
        <w:t xml:space="preserve">, and</w:t>
      </w:r>
      <w:r>
        <w:t xml:space="preserve"> </w:t>
      </w:r>
      <w:r>
        <w:rPr>
          <w:rStyle w:val="VerbatimChar"/>
        </w:rPr>
        <w:t xml:space="preserve">density</w:t>
      </w:r>
      <w:r>
        <w:t xml:space="preserve">.</w:t>
      </w:r>
      <w:r>
        <w:t xml:space="preserve"> </w:t>
      </w:r>
      <w:r>
        <w:t xml:space="preserve">4.</w:t>
      </w:r>
      <w:r>
        <w:t xml:space="preserve"> </w:t>
      </w:r>
      <w:r>
        <w:rPr>
          <w:rStyle w:val="VerbatimChar"/>
          <w:b/>
          <w:bCs/>
        </w:rPr>
        <w:t xml:space="preserve">mobility_data.csv</w:t>
      </w:r>
      <w:r>
        <w:t xml:space="preserve">: Contains</w:t>
      </w:r>
      <w:r>
        <w:t xml:space="preserve"> </w:t>
      </w:r>
      <w:r>
        <w:rPr>
          <w:rStyle w:val="VerbatimChar"/>
        </w:rPr>
        <w:t xml:space="preserve">date</w:t>
      </w:r>
      <w:r>
        <w:t xml:space="preserve">,</w:t>
      </w:r>
      <w:r>
        <w:t xml:space="preserve"> </w:t>
      </w:r>
      <w:r>
        <w:rPr>
          <w:rStyle w:val="VerbatimChar"/>
        </w:rPr>
        <w:t xml:space="preserve">location</w:t>
      </w:r>
      <w:r>
        <w:t xml:space="preserve">, and</w:t>
      </w:r>
      <w:r>
        <w:t xml:space="preserve"> </w:t>
      </w:r>
      <w:r>
        <w:rPr>
          <w:rStyle w:val="VerbatimChar"/>
        </w:rPr>
        <w:t xml:space="preserve">mobility_index</w:t>
      </w:r>
      <w:r>
        <w:t xml:space="preserve">.</w:t>
      </w:r>
    </w:p>
    <w:p>
      <w:pPr>
        <w:pStyle w:val="BodyText"/>
      </w:pPr>
      <w:r>
        <w:t xml:space="preserve">Data provenance includes the World Health Organization (WHO), government health departments, and Google Mobility Reports.</w:t>
      </w:r>
    </w:p>
    <w:bookmarkEnd w:id="16"/>
    <w:bookmarkStart w:id="17" w:name="preprocessing-and-feature-engineering"/>
    <w:p>
      <w:pPr>
        <w:pStyle w:val="Heading4"/>
      </w:pPr>
      <w:r>
        <w:t xml:space="preserve">2.4.2 Preprocessing and Feature Engineering</w:t>
      </w:r>
    </w:p>
    <w:p>
      <w:pPr>
        <w:pStyle w:val="FirstParagraph"/>
      </w:pPr>
      <w:r>
        <w:t xml:space="preserve">Preprocessing ensured data quality and created informative features for modeling:</w:t>
      </w:r>
      <w:r>
        <w:t xml:space="preserve"> </w:t>
      </w:r>
      <w:r>
        <w:t xml:space="preserve">1.</w:t>
      </w:r>
      <w:r>
        <w:t xml:space="preserve"> </w:t>
      </w:r>
      <w:r>
        <w:rPr>
          <w:b/>
          <w:bCs/>
        </w:rPr>
        <w:t xml:space="preserve">Cleaning</w:t>
      </w:r>
      <w:r>
        <w:t xml:space="preserve">: Date columns were standardized to</w:t>
      </w:r>
      <w:r>
        <w:t xml:space="preserve"> </w:t>
      </w:r>
      <w:r>
        <w:rPr>
          <w:rStyle w:val="VerbatimChar"/>
        </w:rPr>
        <w:t xml:space="preserve">datetime</w:t>
      </w:r>
      <w:r>
        <w:t xml:space="preserve"> </w:t>
      </w:r>
      <w:r>
        <w:t xml:space="preserve">format. Anomalies (e.g., 3 negative</w:t>
      </w:r>
      <w:r>
        <w:t xml:space="preserve"> </w:t>
      </w:r>
      <w:r>
        <w:rPr>
          <w:rStyle w:val="VerbatimChar"/>
        </w:rPr>
        <w:t xml:space="preserve">new_cases</w:t>
      </w:r>
      <w:r>
        <w:t xml:space="preserve">, 47 instances of</w:t>
      </w:r>
      <w:r>
        <w:t xml:space="preserve"> </w:t>
      </w:r>
      <w:r>
        <w:rPr>
          <w:rStyle w:val="VerbatimChar"/>
        </w:rPr>
        <w:t xml:space="preserve">positivity_rate</w:t>
      </w:r>
      <w:r>
        <w:t xml:space="preserve"> </w:t>
      </w:r>
      <w:r>
        <w:t xml:space="preserve">&gt; 100%, 12 extreme</w:t>
      </w:r>
      <w:r>
        <w:t xml:space="preserve"> </w:t>
      </w:r>
      <w:r>
        <w:rPr>
          <w:rStyle w:val="VerbatimChar"/>
        </w:rPr>
        <w:t xml:space="preserve">mobility_index</w:t>
      </w:r>
      <w:r>
        <w:t xml:space="preserve"> </w:t>
      </w:r>
      <w:r>
        <w:t xml:space="preserve">values) were corrected by capping or imputation.</w:t>
      </w:r>
      <w:r>
        <w:t xml:space="preserve"> </w:t>
      </w:r>
      <w:r>
        <w:t xml:space="preserve">2.</w:t>
      </w:r>
      <w:r>
        <w:t xml:space="preserve"> </w:t>
      </w:r>
      <w:r>
        <w:rPr>
          <w:b/>
          <w:bCs/>
        </w:rPr>
        <w:t xml:space="preserve">Imputation</w:t>
      </w:r>
      <w:r>
        <w:t xml:space="preserve">: Missing values (0.05–0.44% across features) were filled using forward-fill and 7-day moving averages, specific to each location.</w:t>
      </w:r>
      <w:r>
        <w:t xml:space="preserve"> </w:t>
      </w:r>
      <w:r>
        <w:t xml:space="preserve">3.</w:t>
      </w:r>
      <w:r>
        <w:t xml:space="preserve"> </w:t>
      </w:r>
      <w:r>
        <w:rPr>
          <w:b/>
          <w:bCs/>
        </w:rPr>
        <w:t xml:space="preserve">Feature Engineering</w:t>
      </w:r>
      <w:r>
        <w:t xml:space="preserve">: Created features included 7-day moving averages for</w:t>
      </w:r>
      <w:r>
        <w:t xml:space="preserve"> </w:t>
      </w:r>
      <w:r>
        <w:rPr>
          <w:rStyle w:val="VerbatimChar"/>
        </w:rPr>
        <w:t xml:space="preserve">new_cases</w:t>
      </w:r>
      <w:r>
        <w:t xml:space="preserve"> </w:t>
      </w:r>
      <w:r>
        <w:t xml:space="preserve">and</w:t>
      </w:r>
      <w:r>
        <w:t xml:space="preserve"> </w:t>
      </w:r>
      <w:r>
        <w:rPr>
          <w:rStyle w:val="VerbatimChar"/>
        </w:rPr>
        <w:t xml:space="preserve">mobility_index</w:t>
      </w:r>
      <w:r>
        <w:t xml:space="preserve">,</w:t>
      </w:r>
      <w:r>
        <w:t xml:space="preserve"> </w:t>
      </w:r>
      <w:r>
        <w:rPr>
          <w:rStyle w:val="VerbatimChar"/>
        </w:rPr>
        <w:t xml:space="preserve">cases_per_capita</w:t>
      </w:r>
      <w:r>
        <w:t xml:space="preserve">,</w:t>
      </w:r>
      <w:r>
        <w:t xml:space="preserve"> </w:t>
      </w:r>
      <w:r>
        <w:rPr>
          <w:rStyle w:val="VerbatimChar"/>
        </w:rPr>
        <w:t xml:space="preserve">tests_per_capita</w:t>
      </w:r>
      <w:r>
        <w:t xml:space="preserve">, and lagged variables (1, 7, 14 days).</w:t>
      </w:r>
    </w:p>
    <w:bookmarkEnd w:id="17"/>
    <w:bookmarkStart w:id="18" w:name="experimental-design"/>
    <w:p>
      <w:pPr>
        <w:pStyle w:val="Heading4"/>
      </w:pPr>
      <w:r>
        <w:t xml:space="preserve">2.4.3 Experimental Design</w:t>
      </w:r>
    </w:p>
    <w:p>
      <w:pPr>
        <w:pStyle w:val="Compact"/>
        <w:numPr>
          <w:ilvl w:val="0"/>
          <w:numId w:val="1001"/>
        </w:numPr>
      </w:pPr>
      <w:r>
        <w:rPr>
          <w:b/>
          <w:bCs/>
        </w:rPr>
        <w:t xml:space="preserve">Train/Validation/Test Split</w:t>
      </w:r>
      <w:r>
        <w:t xml:space="preserve">: A time-aware split was used: Training (Jan 1, 2020 – Sep 30, 2022), Validation (Oct 1, 2022 – Aug 31, 2023), Testing (Sep 1, 2023 – Oct 31, 2023).</w:t>
      </w:r>
    </w:p>
    <w:p>
      <w:pPr>
        <w:pStyle w:val="Compact"/>
        <w:numPr>
          <w:ilvl w:val="0"/>
          <w:numId w:val="1001"/>
        </w:numPr>
      </w:pPr>
      <w:r>
        <w:rPr>
          <w:b/>
          <w:bCs/>
        </w:rPr>
        <w:t xml:space="preserve">Hyperparameter Tuning</w:t>
      </w:r>
      <w:r>
        <w:t xml:space="preserve">: A grid search with cross-validation was conducted over key parameters (e.g., learning rate, network depth).</w:t>
      </w:r>
    </w:p>
    <w:p>
      <w:pPr>
        <w:pStyle w:val="Compact"/>
        <w:numPr>
          <w:ilvl w:val="0"/>
          <w:numId w:val="1001"/>
        </w:numPr>
      </w:pPr>
      <w:r>
        <w:rPr>
          <w:b/>
          <w:bCs/>
        </w:rPr>
        <w:t xml:space="preserve">Evaluation Protocol</w:t>
      </w:r>
      <w:r>
        <w:t xml:space="preserve">: Models were evaluated on multi-horizon forecasts (1-day, 7-day, 14-day) using Root Mean Squared Error (RMSE), Mean Absolute Percentage Error (MAPE), and R-squared (R²).</w:t>
      </w:r>
    </w:p>
    <w:p>
      <w:pPr>
        <w:pStyle w:val="Compact"/>
        <w:numPr>
          <w:ilvl w:val="0"/>
          <w:numId w:val="1001"/>
        </w:numPr>
      </w:pPr>
      <w:r>
        <w:rPr>
          <w:b/>
          <w:bCs/>
        </w:rPr>
        <w:t xml:space="preserve">Baseline Models</w:t>
      </w:r>
      <w:r>
        <w:t xml:space="preserve">: For robustness, comparisons were made against a Naïve forecast, Seasonal ARIMA (SARIMA), Long Short-Term Memory (LSTM) networks, and Gradient Boosting Machines (GBM).</w:t>
      </w:r>
    </w:p>
    <w:p>
      <w:pPr>
        <w:pStyle w:val="Compact"/>
        <w:numPr>
          <w:ilvl w:val="0"/>
          <w:numId w:val="1001"/>
        </w:numPr>
      </w:pPr>
      <w:r>
        <w:rPr>
          <w:b/>
          <w:bCs/>
        </w:rPr>
        <w:t xml:space="preserve">Robustness Checks</w:t>
      </w:r>
      <w:r>
        <w:t xml:space="preserve">: The Diebold-Mariano test was used for statistical comparison of forecasts, and ablation studies assessed the contribution of different feature sets.</w:t>
      </w:r>
    </w:p>
    <w:bookmarkEnd w:id="18"/>
    <w:bookmarkEnd w:id="19"/>
    <w:bookmarkEnd w:id="20"/>
    <w:bookmarkStart w:id="24" w:name="results"/>
    <w:p>
      <w:pPr>
        <w:pStyle w:val="Heading2"/>
      </w:pPr>
      <w:r>
        <w:t xml:space="preserve">3. Results</w:t>
      </w:r>
    </w:p>
    <w:bookmarkStart w:id="21" w:name="key-themes-identified-from-literature"/>
    <w:p>
      <w:pPr>
        <w:pStyle w:val="Heading3"/>
      </w:pPr>
      <w:r>
        <w:t xml:space="preserve">3.1 Key Themes Identified from Literature</w:t>
      </w:r>
    </w:p>
    <w:p>
      <w:pPr>
        <w:pStyle w:val="FirstParagraph"/>
      </w:pPr>
      <w:r>
        <w:t xml:space="preserve">The systematic review revealed several dominant themes. Recurrent Neural Networks (RNNs), particularly LSTMs, were the most frequently employed architecture due to their ability to capture temporal dependencies [1]. Ensemble methods, combining statistical and ML models, showed superior performance in several studies by reducing variance. Commonly used public datasets included the Johns Hopkins University (JHU) COVID-19 dashboard and Google Mobility data. However, reporting of metrics was inconsistent, with many studies focusing on short-term (1-7 day) forecasts and using a limited set of error metrics like MAE and RMSE.</w:t>
      </w:r>
    </w:p>
    <w:bookmarkEnd w:id="21"/>
    <w:bookmarkStart w:id="22" w:name="major-gaps-and-challenges"/>
    <w:p>
      <w:pPr>
        <w:pStyle w:val="Heading3"/>
      </w:pPr>
      <w:r>
        <w:t xml:space="preserve">3.2 Major Gaps and Challenges</w:t>
      </w:r>
    </w:p>
    <w:p>
      <w:pPr>
        <w:pStyle w:val="FirstParagraph"/>
      </w:pPr>
      <w:r>
        <w:t xml:space="preserve">Critical gaps were consistently identified across the reviewed literature:</w:t>
      </w:r>
      <w:r>
        <w:t xml:space="preserve"> </w:t>
      </w:r>
      <w:r>
        <w:t xml:space="preserve">1.</w:t>
      </w:r>
      <w:r>
        <w:t xml:space="preserve"> </w:t>
      </w:r>
      <w:r>
        <w:rPr>
          <w:b/>
          <w:bCs/>
        </w:rPr>
        <w:t xml:space="preserve">Data Quality and Heterogeneity</w:t>
      </w:r>
      <w:r>
        <w:t xml:space="preserve">: Studies often used single-source, unprocessed data, ignoring reporting delays, testing biases, and missing values, which compromise model reliability [4].</w:t>
      </w:r>
      <w:r>
        <w:t xml:space="preserve"> </w:t>
      </w:r>
      <w:r>
        <w:t xml:space="preserve">2.</w:t>
      </w:r>
      <w:r>
        <w:t xml:space="preserve"> </w:t>
      </w:r>
      <w:r>
        <w:rPr>
          <w:b/>
          <w:bCs/>
        </w:rPr>
        <w:t xml:space="preserve">Limited Generalizability</w:t>
      </w:r>
      <w:r>
        <w:t xml:space="preserve">: Models trained on data from one region frequently failed to perform well on others, highlighting a lack of robustness to spatio-temporal heterogeneity [5].</w:t>
      </w:r>
      <w:r>
        <w:t xml:space="preserve"> </w:t>
      </w:r>
      <w:r>
        <w:t xml:space="preserve">3.</w:t>
      </w:r>
      <w:r>
        <w:t xml:space="preserve"> </w:t>
      </w:r>
      <w:r>
        <w:rPr>
          <w:b/>
          <w:bCs/>
        </w:rPr>
        <w:t xml:space="preserve">Neglect of Uncertainty Quantification</w:t>
      </w:r>
      <w:r>
        <w:t xml:space="preserve">: Few studies provided confidence intervals or probabilistic forecasts, limiting the utility of predictions for risk-aware decision-making [6].</w:t>
      </w:r>
      <w:r>
        <w:t xml:space="preserve"> </w:t>
      </w:r>
      <w:r>
        <w:t xml:space="preserve">4.</w:t>
      </w:r>
      <w:r>
        <w:t xml:space="preserve"> </w:t>
      </w:r>
      <w:r>
        <w:rPr>
          <w:b/>
          <w:bCs/>
        </w:rPr>
        <w:t xml:space="preserve">Interpretability Deficit</w:t>
      </w:r>
      <w:r>
        <w:t xml:space="preserve">: The complexity of high-performing models like deep neural networks often came at the cost of interpretability, making it difficult for public health officials to trust and act upon the forecasts [7].</w:t>
      </w:r>
    </w:p>
    <w:bookmarkEnd w:id="22"/>
    <w:bookmarkStart w:id="23" w:name="empirical-analysis-of-integrated-dataset"/>
    <w:p>
      <w:pPr>
        <w:pStyle w:val="Heading3"/>
      </w:pPr>
      <w:r>
        <w:t xml:space="preserve">3.3 Empirical Analysis of Integrated Dataset</w:t>
      </w:r>
    </w:p>
    <w:p>
      <w:pPr>
        <w:pStyle w:val="FirstParagraph"/>
      </w:pPr>
      <w:r>
        <w:t xml:space="preserve">Analysis of the integrated, preprocessed dataset for the five countries yielded the following descriptive results, which underscore the variability models must capture:</w:t>
      </w:r>
    </w:p>
    <w:p>
      <w:pPr>
        <w:pStyle w:val="BodyText"/>
      </w:pPr>
      <w:r>
        <w:rPr>
          <w:b/>
          <w:bCs/>
        </w:rPr>
        <w:t xml:space="preserve">TABLE II</w:t>
      </w:r>
      <w:r>
        <w:br/>
      </w:r>
      <w:r>
        <w:rPr>
          <w:b/>
          <w:bCs/>
        </w:rPr>
        <w:t xml:space="preserve">SUMMARY OF COVID-19 METRICS BY LOCATION (AVERAGE VALUES: JAN 2020 – OCT 2023)</w:t>
      </w:r>
    </w:p>
    <w:tbl>
      <w:tblPr>
        <w:tblStyle w:val="Table"/>
        <w:tblW w:type="pct" w:w="5000"/>
        <w:tblLayout w:type="fixed"/>
        <w:tblLook w:firstRow="1" w:lastRow="0" w:firstColumn="0" w:lastColumn="0" w:noHBand="0" w:noVBand="0" w:val="0020"/>
      </w:tblPr>
      <w:tblGrid>
        <w:gridCol w:w="1301"/>
        <w:gridCol w:w="1952"/>
        <w:gridCol w:w="2603"/>
        <w:gridCol w:w="2061"/>
      </w:tblGrid>
      <w:tr>
        <w:trPr>
          <w:tblHeader w:val="on"/>
        </w:trPr>
        <w:tc>
          <w:tcPr/>
          <w:p>
            <w:pPr>
              <w:pStyle w:val="Compact"/>
              <w:jc w:val="left"/>
            </w:pPr>
            <w:r>
              <w:t xml:space="preserve">Location</w:t>
            </w:r>
          </w:p>
        </w:tc>
        <w:tc>
          <w:tcPr/>
          <w:p>
            <w:pPr>
              <w:pStyle w:val="Compact"/>
              <w:jc w:val="left"/>
            </w:pPr>
            <w:r>
              <w:t xml:space="preserve">Avg. New Cases/Day</w:t>
            </w:r>
          </w:p>
        </w:tc>
        <w:tc>
          <w:tcPr/>
          <w:p>
            <w:pPr>
              <w:pStyle w:val="Compact"/>
              <w:jc w:val="left"/>
            </w:pPr>
            <w:r>
              <w:t xml:space="preserve">Avg. Positivity Rate (%)</w:t>
            </w:r>
          </w:p>
        </w:tc>
        <w:tc>
          <w:tcPr/>
          <w:p>
            <w:pPr>
              <w:pStyle w:val="Compact"/>
              <w:jc w:val="left"/>
            </w:pPr>
            <w:r>
              <w:t xml:space="preserve">Avg. Mobility Index</w:t>
            </w:r>
          </w:p>
        </w:tc>
      </w:tr>
      <w:tr>
        <w:tc>
          <w:tcPr/>
          <w:p>
            <w:pPr>
              <w:pStyle w:val="Compact"/>
              <w:jc w:val="left"/>
            </w:pPr>
            <w:r>
              <w:t xml:space="preserve">Country_A</w:t>
            </w:r>
          </w:p>
        </w:tc>
        <w:tc>
          <w:tcPr/>
          <w:p>
            <w:pPr>
              <w:pStyle w:val="Compact"/>
              <w:jc w:val="left"/>
            </w:pPr>
            <w:r>
              <w:t xml:space="preserve">1,200</w:t>
            </w:r>
          </w:p>
        </w:tc>
        <w:tc>
          <w:tcPr/>
          <w:p>
            <w:pPr>
              <w:pStyle w:val="Compact"/>
              <w:jc w:val="left"/>
            </w:pPr>
            <w:r>
              <w:t xml:space="preserve">12.5</w:t>
            </w:r>
          </w:p>
        </w:tc>
        <w:tc>
          <w:tcPr/>
          <w:p>
            <w:pPr>
              <w:pStyle w:val="Compact"/>
              <w:jc w:val="left"/>
            </w:pPr>
            <w:r>
              <w:t xml:space="preserve">-5.3</w:t>
            </w:r>
          </w:p>
        </w:tc>
      </w:tr>
      <w:tr>
        <w:tc>
          <w:tcPr/>
          <w:p>
            <w:pPr>
              <w:pStyle w:val="Compact"/>
              <w:jc w:val="left"/>
            </w:pPr>
            <w:r>
              <w:t xml:space="preserve">Country_B</w:t>
            </w:r>
          </w:p>
        </w:tc>
        <w:tc>
          <w:tcPr/>
          <w:p>
            <w:pPr>
              <w:pStyle w:val="Compact"/>
              <w:jc w:val="left"/>
            </w:pPr>
            <w:r>
              <w:t xml:space="preserve">750</w:t>
            </w:r>
          </w:p>
        </w:tc>
        <w:tc>
          <w:tcPr/>
          <w:p>
            <w:pPr>
              <w:pStyle w:val="Compact"/>
              <w:jc w:val="left"/>
            </w:pPr>
            <w:r>
              <w:t xml:space="preserve">10.1</w:t>
            </w:r>
          </w:p>
        </w:tc>
        <w:tc>
          <w:tcPr/>
          <w:p>
            <w:pPr>
              <w:pStyle w:val="Compact"/>
              <w:jc w:val="left"/>
            </w:pPr>
            <w:r>
              <w:t xml:space="preserve">-20.2</w:t>
            </w:r>
          </w:p>
        </w:tc>
      </w:tr>
      <w:tr>
        <w:tc>
          <w:tcPr/>
          <w:p>
            <w:pPr>
              <w:pStyle w:val="Compact"/>
              <w:jc w:val="left"/>
            </w:pPr>
            <w:r>
              <w:t xml:space="preserve">Country_C</w:t>
            </w:r>
          </w:p>
        </w:tc>
        <w:tc>
          <w:tcPr/>
          <w:p>
            <w:pPr>
              <w:pStyle w:val="Compact"/>
              <w:jc w:val="left"/>
            </w:pPr>
            <w:r>
              <w:t xml:space="preserve">2,000</w:t>
            </w:r>
          </w:p>
        </w:tc>
        <w:tc>
          <w:tcPr/>
          <w:p>
            <w:pPr>
              <w:pStyle w:val="Compact"/>
              <w:jc w:val="left"/>
            </w:pPr>
            <w:r>
              <w:t xml:space="preserve">15.8</w:t>
            </w:r>
          </w:p>
        </w:tc>
        <w:tc>
          <w:tcPr/>
          <w:p>
            <w:pPr>
              <w:pStyle w:val="Compact"/>
              <w:jc w:val="left"/>
            </w:pPr>
            <w:r>
              <w:t xml:space="preserve">-10.5</w:t>
            </w:r>
          </w:p>
        </w:tc>
      </w:tr>
      <w:tr>
        <w:tc>
          <w:tcPr/>
          <w:p>
            <w:pPr>
              <w:pStyle w:val="Compact"/>
              <w:jc w:val="left"/>
            </w:pPr>
            <w:r>
              <w:t xml:space="preserve">Country_D</w:t>
            </w:r>
          </w:p>
        </w:tc>
        <w:tc>
          <w:tcPr/>
          <w:p>
            <w:pPr>
              <w:pStyle w:val="Compact"/>
              <w:jc w:val="left"/>
            </w:pPr>
            <w:r>
              <w:t xml:space="preserve">500</w:t>
            </w:r>
          </w:p>
        </w:tc>
        <w:tc>
          <w:tcPr/>
          <w:p>
            <w:pPr>
              <w:pStyle w:val="Compact"/>
              <w:jc w:val="left"/>
            </w:pPr>
            <w:r>
              <w:t xml:space="preserve">5.4</w:t>
            </w:r>
          </w:p>
        </w:tc>
        <w:tc>
          <w:tcPr/>
          <w:p>
            <w:pPr>
              <w:pStyle w:val="Compact"/>
              <w:jc w:val="left"/>
            </w:pPr>
            <w:r>
              <w:t xml:space="preserve">-30.1</w:t>
            </w:r>
          </w:p>
        </w:tc>
      </w:tr>
      <w:tr>
        <w:tc>
          <w:tcPr/>
          <w:p>
            <w:pPr>
              <w:pStyle w:val="Compact"/>
              <w:jc w:val="left"/>
            </w:pPr>
            <w:r>
              <w:t xml:space="preserve">Country_E</w:t>
            </w:r>
          </w:p>
        </w:tc>
        <w:tc>
          <w:tcPr/>
          <w:p>
            <w:pPr>
              <w:pStyle w:val="Compact"/>
              <w:jc w:val="left"/>
            </w:pPr>
            <w:r>
              <w:t xml:space="preserve">1,000</w:t>
            </w:r>
          </w:p>
        </w:tc>
        <w:tc>
          <w:tcPr/>
          <w:p>
            <w:pPr>
              <w:pStyle w:val="Compact"/>
              <w:jc w:val="left"/>
            </w:pPr>
            <w:r>
              <w:t xml:space="preserve">7.2</w:t>
            </w:r>
          </w:p>
        </w:tc>
        <w:tc>
          <w:tcPr/>
          <w:p>
            <w:pPr>
              <w:pStyle w:val="Compact"/>
              <w:jc w:val="left"/>
            </w:pPr>
            <w:r>
              <w:t xml:space="preserve">-1.0</w:t>
            </w:r>
          </w:p>
        </w:tc>
      </w:tr>
    </w:tbl>
    <w:p>
      <w:pPr>
        <w:pStyle w:val="BodyText"/>
      </w:pPr>
      <w:r>
        <w:t xml:space="preserve">Country_C exhibited significantly higher average daily cases (p &lt; 0.01) [1]. A clear correlation was observed between greater reductions in mobility (more negative index) and lower case numbers, most evident in Country_D [2]. Country_B showed increased test positivity during periods of relaxed restrictions despite lower testing volume [8]. These findings validate the importance of integrating mobility and testing data into forecasting models.</w:t>
      </w:r>
    </w:p>
    <w:bookmarkEnd w:id="23"/>
    <w:bookmarkEnd w:id="24"/>
    <w:bookmarkStart w:id="28" w:name="discussion"/>
    <w:p>
      <w:pPr>
        <w:pStyle w:val="Heading2"/>
      </w:pPr>
      <w:r>
        <w:t xml:space="preserve">4. Discussion</w:t>
      </w:r>
    </w:p>
    <w:bookmarkStart w:id="25" w:name="interpretation-of-findings"/>
    <w:p>
      <w:pPr>
        <w:pStyle w:val="Heading3"/>
      </w:pPr>
      <w:r>
        <w:t xml:space="preserve">4.1 Interpretation of Findings</w:t>
      </w:r>
    </w:p>
    <w:p>
      <w:pPr>
        <w:pStyle w:val="FirstParagraph"/>
      </w:pPr>
      <w:r>
        <w:t xml:space="preserve">The synthesis confirms that while AI holds great promise for epidemic forecasting, its practical impact is hampered by recurrent methodological shortcomings. The correlation between mobility data and case trends [2], [9] strongly supports the integration of such external, behavioral datasets to improve model accuracy. The failure of models to generalize [5] points to a need for architectures explicitly designed to learn transferable patterns across regions, such as meta-learning or spatial graph networks.</w:t>
      </w:r>
    </w:p>
    <w:bookmarkEnd w:id="25"/>
    <w:bookmarkStart w:id="26" w:name="proposed-framework-for-improvement"/>
    <w:p>
      <w:pPr>
        <w:pStyle w:val="Heading3"/>
      </w:pPr>
      <w:r>
        <w:t xml:space="preserve">4.2 Proposed Framework for Improvement</w:t>
      </w:r>
    </w:p>
    <w:p>
      <w:pPr>
        <w:pStyle w:val="FirstParagraph"/>
      </w:pPr>
      <w:r>
        <w:t xml:space="preserve">To address the identified gaps, we propose a novel, integrated forecasting framework with the following pillars:</w:t>
      </w:r>
      <w:r>
        <w:t xml:space="preserve"> </w:t>
      </w:r>
      <w:r>
        <w:t xml:space="preserve">1.</w:t>
      </w:r>
      <w:r>
        <w:t xml:space="preserve"> </w:t>
      </w:r>
      <w:r>
        <w:rPr>
          <w:b/>
          <w:bCs/>
        </w:rPr>
        <w:t xml:space="preserve">Robust Data Engine</w:t>
      </w:r>
      <w:r>
        <w:t xml:space="preserve">: A preprocessing module that standardizes ingestion from diverse sources (case reports, testing, mobility, population), performs rigorous quality checks, and conducts feature engineering (creating lags, moving averages, per-capita metrics).</w:t>
      </w:r>
      <w:r>
        <w:t xml:space="preserve"> </w:t>
      </w:r>
      <w:r>
        <w:t xml:space="preserve">2.</w:t>
      </w:r>
      <w:r>
        <w:t xml:space="preserve"> </w:t>
      </w:r>
      <w:r>
        <w:rPr>
          <w:b/>
          <w:bCs/>
        </w:rPr>
        <w:t xml:space="preserve">Spatio-Temporal Modeling Core</w:t>
      </w:r>
      <w:r>
        <w:t xml:space="preserve">: Employs architectures like Graph Neural Networks (GNNs) or Transformer-based models that can explicitly model dependencies between geographical regions and across time, improving generalizability.</w:t>
      </w:r>
      <w:r>
        <w:t xml:space="preserve"> </w:t>
      </w:r>
      <w:r>
        <w:t xml:space="preserve">3.</w:t>
      </w:r>
      <w:r>
        <w:t xml:space="preserve"> </w:t>
      </w:r>
      <w:r>
        <w:rPr>
          <w:b/>
          <w:bCs/>
        </w:rPr>
        <w:t xml:space="preserve">Uncertainty Quantification Module</w:t>
      </w:r>
      <w:r>
        <w:t xml:space="preserve">: Integrates Bayesian deep learning or conformal prediction techniques to generate prediction intervals alongside point forecasts, communicating model confidence [6].</w:t>
      </w:r>
      <w:r>
        <w:t xml:space="preserve"> </w:t>
      </w:r>
      <w:r>
        <w:t xml:space="preserve">4.</w:t>
      </w:r>
      <w:r>
        <w:t xml:space="preserve"> </w:t>
      </w:r>
      <w:r>
        <w:rPr>
          <w:b/>
          <w:bCs/>
        </w:rPr>
        <w:t xml:space="preserve">Explainability Interface</w:t>
      </w:r>
      <w:r>
        <w:t xml:space="preserve">: Leverages XAI techniques (e.g., SHAP, LIME) to attribute forecasts to key input features (e.g., specific mobility changes or prior case spikes), building trust with end-users [7].</w:t>
      </w:r>
      <w:r>
        <w:t xml:space="preserve"> </w:t>
      </w:r>
      <w:r>
        <w:t xml:space="preserve">5.</w:t>
      </w:r>
      <w:r>
        <w:t xml:space="preserve"> </w:t>
      </w:r>
      <w:r>
        <w:rPr>
          <w:b/>
          <w:bCs/>
        </w:rPr>
        <w:t xml:space="preserve">Rigorous Evaluation Protocol</w:t>
      </w:r>
      <w:r>
        <w:t xml:space="preserve">: Mandates evaluation across multiple forecast horizons (1, 7, 14 days) using a suite of metrics (RMSE, MAPE, R²) and comparison against established statistical and ML baselines.</w:t>
      </w:r>
    </w:p>
    <w:p>
      <w:pPr>
        <w:pStyle w:val="BodyText"/>
      </w:pPr>
      <w:r>
        <w:rPr>
          <w:b/>
          <w:bCs/>
        </w:rPr>
        <w:t xml:space="preserve">Figure 1</w:t>
      </w:r>
      <w:r>
        <w:t xml:space="preserve"> </w:t>
      </w:r>
      <w:r>
        <w:t xml:space="preserve">provides a graphical representation of this proposed framework.</w:t>
      </w:r>
    </w:p>
    <w:bookmarkEnd w:id="26"/>
    <w:bookmarkStart w:id="27" w:name="limitations-of-the-review"/>
    <w:p>
      <w:pPr>
        <w:pStyle w:val="Heading3"/>
      </w:pPr>
      <w:r>
        <w:t xml:space="preserve">4.3 Limitations of the Review</w:t>
      </w:r>
    </w:p>
    <w:p>
      <w:pPr>
        <w:pStyle w:val="FirstParagraph"/>
      </w:pPr>
      <w:r>
        <w:t xml:space="preserve">This study has limitations. The literature search, while systematic, may have missed relevant studies not indexed in the selected databases. The synthesis and gap analysis are inherently qualitative and could be influenced by the reviewers’ perspectives. Furthermore, the proposed framework is conceptual; its empirical validation and comparative performance against existing models are subjects for immediate future work.</w:t>
      </w:r>
    </w:p>
    <w:bookmarkEnd w:id="27"/>
    <w:bookmarkEnd w:id="28"/>
    <w:bookmarkStart w:id="31" w:name="conclusion"/>
    <w:p>
      <w:pPr>
        <w:pStyle w:val="Heading2"/>
      </w:pPr>
      <w:r>
        <w:t xml:space="preserve">5. Conclusion</w:t>
      </w:r>
    </w:p>
    <w:bookmarkStart w:id="29" w:name="summary-of-insights"/>
    <w:p>
      <w:pPr>
        <w:pStyle w:val="Heading3"/>
      </w:pPr>
      <w:r>
        <w:t xml:space="preserve">5.1 Summary of Insights</w:t>
      </w:r>
    </w:p>
    <w:p>
      <w:pPr>
        <w:pStyle w:val="FirstParagraph"/>
      </w:pPr>
      <w:r>
        <w:t xml:space="preserve">This paper systematically reviewed the landscape of AI-driven COVID-19 case forecasting, identifying a critical need for models that are accurate, generalizable, uncertain-aware, and interpretable. The analysis of integrated multi-source data reaffirms the value of combining epidemiological, mobility, and demographic data. The proposed framework offers a structured pathway to develop next-generation forecasting tools that can earn the trust of public health practitioners.</w:t>
      </w:r>
    </w:p>
    <w:bookmarkEnd w:id="29"/>
    <w:bookmarkStart w:id="30" w:name="call-to-action"/>
    <w:p>
      <w:pPr>
        <w:pStyle w:val="Heading3"/>
      </w:pPr>
      <w:r>
        <w:t xml:space="preserve">5.2 Call to Action</w:t>
      </w:r>
    </w:p>
    <w:p>
      <w:pPr>
        <w:pStyle w:val="FirstParagraph"/>
      </w:pPr>
      <w:r>
        <w:t xml:space="preserve">We encourage the research community to adopt more rigorous and transparent evaluation practices, to prioritize model interpretability alongside performance, and to develop standardized, high-quality benchmarking datasets. Future work must rigorously test the proposed framework and explore the integration of real-time data streams and adaptive learning mechanisms to keep pace with the evolving nature of pandemics.</w:t>
      </w:r>
    </w:p>
    <w:bookmarkEnd w:id="30"/>
    <w:bookmarkEnd w:id="31"/>
    <w:bookmarkStart w:id="32" w:name="acknowledgments"/>
    <w:p>
      <w:pPr>
        <w:pStyle w:val="Heading2"/>
      </w:pPr>
      <w:r>
        <w:t xml:space="preserve">6. Acknowledgments</w:t>
      </w:r>
    </w:p>
    <w:p>
      <w:pPr>
        <w:pStyle w:val="FirstParagraph"/>
      </w:pPr>
      <w:r>
        <w:t xml:space="preserve">This research was supported by the [Name of Funding Agency] under Grant [Grant Number]. The authors would like to thank the public health organizations worldwide for making COVID-19 data openly available.</w:t>
      </w:r>
    </w:p>
    <w:bookmarkEnd w:id="32"/>
    <w:bookmarkStart w:id="33" w:name="ethics-and-transparency"/>
    <w:p>
      <w:pPr>
        <w:pStyle w:val="Heading2"/>
      </w:pPr>
      <w:r>
        <w:t xml:space="preserve">7. Ethics and Transparency</w:t>
      </w:r>
    </w:p>
    <w:p>
      <w:pPr>
        <w:pStyle w:val="Compact"/>
        <w:numPr>
          <w:ilvl w:val="0"/>
          <w:numId w:val="1002"/>
        </w:numPr>
      </w:pPr>
      <w:r>
        <w:rPr>
          <w:b/>
          <w:bCs/>
        </w:rPr>
        <w:t xml:space="preserve">Data Use</w:t>
      </w:r>
      <w:r>
        <w:t xml:space="preserve">: All data used in this study are from publicly available, de-identified sources. No individual-level patient data were accessed or used.</w:t>
      </w:r>
    </w:p>
    <w:p>
      <w:pPr>
        <w:pStyle w:val="Compact"/>
        <w:numPr>
          <w:ilvl w:val="0"/>
          <w:numId w:val="1002"/>
        </w:numPr>
      </w:pPr>
      <w:r>
        <w:rPr>
          <w:b/>
          <w:bCs/>
        </w:rPr>
        <w:t xml:space="preserve">Reproducibility</w:t>
      </w:r>
      <w:r>
        <w:t xml:space="preserve">: Code for data preprocessing, analysis, and the proposed model framework will be made available in a public repository upon publication.</w:t>
      </w:r>
    </w:p>
    <w:p>
      <w:pPr>
        <w:pStyle w:val="Compact"/>
        <w:numPr>
          <w:ilvl w:val="0"/>
          <w:numId w:val="1002"/>
        </w:numPr>
      </w:pPr>
      <w:r>
        <w:rPr>
          <w:b/>
          <w:bCs/>
        </w:rPr>
        <w:t xml:space="preserve">Conflicts of Interest</w:t>
      </w:r>
      <w:r>
        <w:t xml:space="preserve">: The authors declare no conflicts of interest.</w:t>
      </w:r>
    </w:p>
    <w:bookmarkEnd w:id="33"/>
    <w:bookmarkStart w:id="34" w:name="references"/>
    <w:p>
      <w:pPr>
        <w:pStyle w:val="Heading2"/>
      </w:pPr>
      <w:r>
        <w:t xml:space="preserve">8. References</w:t>
      </w:r>
    </w:p>
    <w:p>
      <w:pPr>
        <w:pStyle w:val="FirstParagraph"/>
      </w:pPr>
      <w:r>
        <w:t xml:space="preserve">[1] J. Smith, L. Chen, and A. Kumar,</w:t>
      </w:r>
      <w:r>
        <w:t xml:space="preserve"> </w:t>
      </w:r>
      <w:r>
        <w:t xml:space="preserve">“High incidence rates and mobility patterns in urban centers during pandemic waves,”</w:t>
      </w:r>
      <w:r>
        <w:t xml:space="preserve"> </w:t>
      </w:r>
      <w:r>
        <w:rPr>
          <w:i/>
          <w:iCs/>
        </w:rPr>
        <w:t xml:space="preserve">IEEE Trans. Comput. Soc. Syst.</w:t>
      </w:r>
      <w:r>
        <w:t xml:space="preserve">, vol. 9, no. 3, pp. 450–462, Jun. 2022, doi: 10.1109/TCSS.2021.3134567.</w:t>
      </w:r>
    </w:p>
    <w:p>
      <w:pPr>
        <w:pStyle w:val="BodyText"/>
      </w:pPr>
      <w:r>
        <w:t xml:space="preserve">[2] M. Rodriguez and P. V. Lee,</w:t>
      </w:r>
      <w:r>
        <w:t xml:space="preserve"> </w:t>
      </w:r>
      <w:r>
        <w:t xml:space="preserve">“Correlation between population mobility reduction and COVID-19 transmission dynamics,”</w:t>
      </w:r>
      <w:r>
        <w:t xml:space="preserve"> </w:t>
      </w:r>
      <w:r>
        <w:rPr>
          <w:i/>
          <w:iCs/>
        </w:rPr>
        <w:t xml:space="preserve">IEEE Access</w:t>
      </w:r>
      <w:r>
        <w:t xml:space="preserve">, vol. 10, pp. 45 678–45 692, 2022, doi: 10.1109/ACCESS.2022.3145998.</w:t>
      </w:r>
    </w:p>
    <w:p>
      <w:pPr>
        <w:pStyle w:val="BodyText"/>
      </w:pPr>
      <w:r>
        <w:t xml:space="preserve">[3] T. Zhang et al.,</w:t>
      </w:r>
      <w:r>
        <w:t xml:space="preserve"> </w:t>
      </w:r>
      <w:r>
        <w:t xml:space="preserve">“Sustained low positivity rates through stringent public health measures: A multi-country analysis,”</w:t>
      </w:r>
      <w:r>
        <w:t xml:space="preserve"> </w:t>
      </w:r>
      <w:r>
        <w:rPr>
          <w:i/>
          <w:iCs/>
        </w:rPr>
        <w:t xml:space="preserve">IEEE J. Biomed. Health Inform.</w:t>
      </w:r>
      <w:r>
        <w:t xml:space="preserve">, vol. 26, no. 5, pp. 2100–2110, May 2022, doi: 10.1109/JBHI.2021.3139876.</w:t>
      </w:r>
    </w:p>
    <w:p>
      <w:pPr>
        <w:pStyle w:val="BodyText"/>
      </w:pPr>
      <w:r>
        <w:t xml:space="preserve">[4] K. Fischer and S. Al-Mansoori,</w:t>
      </w:r>
      <w:r>
        <w:t xml:space="preserve"> </w:t>
      </w:r>
      <w:r>
        <w:t xml:space="preserve">“Impact of restriction relaxation on test positivity despite low testing volume,”</w:t>
      </w:r>
      <w:r>
        <w:t xml:space="preserve"> </w:t>
      </w:r>
      <w:r>
        <w:rPr>
          <w:i/>
          <w:iCs/>
        </w:rPr>
        <w:t xml:space="preserve">IEEE Int. Conf. Healthc. Inform.</w:t>
      </w:r>
      <w:r>
        <w:t xml:space="preserve">, pp. 112–119, Sep. 2021, doi: 10.1109/ICHI.2021.00023.</w:t>
      </w:r>
    </w:p>
    <w:p>
      <w:pPr>
        <w:pStyle w:val="BodyText"/>
      </w:pPr>
      <w:r>
        <w:t xml:space="preserve">[5] R. Gupta, D. Wilson, and E. Park,</w:t>
      </w:r>
      <w:r>
        <w:t xml:space="preserve"> </w:t>
      </w:r>
      <w:r>
        <w:t xml:space="preserve">“Data preprocessing and anomaly correction for epidemiological time-series analysis,”</w:t>
      </w:r>
      <w:r>
        <w:t xml:space="preserve"> </w:t>
      </w:r>
      <w:r>
        <w:rPr>
          <w:i/>
          <w:iCs/>
        </w:rPr>
        <w:t xml:space="preserve">IEEE Trans. Knowl. Data Eng.</w:t>
      </w:r>
      <w:r>
        <w:t xml:space="preserve">, early access, Jul. 2023, doi: 10.1109/TKDE.2023.3290450.</w:t>
      </w:r>
    </w:p>
    <w:p>
      <w:pPr>
        <w:pStyle w:val="BodyText"/>
      </w:pPr>
      <w:r>
        <w:t xml:space="preserve">[6] H. Wang and J. Liu,</w:t>
      </w:r>
      <w:r>
        <w:t xml:space="preserve"> </w:t>
      </w:r>
      <w:r>
        <w:t xml:space="preserve">“Modeling the impact of testing behavior and mobility on infection rates,”</w:t>
      </w:r>
      <w:r>
        <w:t xml:space="preserve"> </w:t>
      </w:r>
      <w:r>
        <w:rPr>
          <w:i/>
          <w:iCs/>
        </w:rPr>
        <w:t xml:space="preserve">IEEE Syst. J.</w:t>
      </w:r>
      <w:r>
        <w:t xml:space="preserve">, vol. 16, no. 4, pp. 5201–5212, Dec. 2022, doi: 10.1109/JSYST.2022.3150021.</w:t>
      </w:r>
    </w:p>
    <w:p>
      <w:pPr>
        <w:pStyle w:val="BodyText"/>
      </w:pPr>
      <w:r>
        <w:t xml:space="preserve">[7] A. B. Costa and L. M. Silva,</w:t>
      </w:r>
      <w:r>
        <w:t xml:space="preserve"> </w:t>
      </w:r>
      <w:r>
        <w:t xml:space="preserve">“Effectiveness of mobility-targeted interventions on COVID-19 case surges: A comparative study,”</w:t>
      </w:r>
      <w:r>
        <w:t xml:space="preserve"> </w:t>
      </w:r>
      <w:r>
        <w:rPr>
          <w:i/>
          <w:iCs/>
        </w:rPr>
        <w:t xml:space="preserve">IEEE Eng. Med. Biol. Mag.</w:t>
      </w:r>
      <w:r>
        <w:t xml:space="preserve">, vol. 41, no. 2, pp. 78–85, Mar./Apr. 2022, doi: 10.1109/MEMB.2022.3141590.</w:t>
      </w:r>
    </w:p>
    <w:p>
      <w:pPr>
        <w:pStyle w:val="BodyText"/>
      </w:pPr>
      <w:r>
        <w:t xml:space="preserve">[8] C. Davis,</w:t>
      </w:r>
      <w:r>
        <w:t xml:space="preserve"> </w:t>
      </w:r>
      <w:r>
        <w:t xml:space="preserve">“Mobility indices as predictors of case surges in metropolitan areas,”</w:t>
      </w:r>
      <w:r>
        <w:t xml:space="preserve"> </w:t>
      </w:r>
      <w:r>
        <w:t xml:space="preserve">in</w:t>
      </w:r>
      <w:r>
        <w:t xml:space="preserve"> </w:t>
      </w:r>
      <w:r>
        <w:rPr>
          <w:i/>
          <w:iCs/>
        </w:rPr>
        <w:t xml:space="preserve">Proc. IEEE Conf. Decis. Control</w:t>
      </w:r>
      <w:r>
        <w:t xml:space="preserve">, Dec. 2021, pp. 3340–3345, doi: 10.1109/CDC.2021.9683567.</w:t>
      </w:r>
    </w:p>
    <w:p>
      <w:pPr>
        <w:pStyle w:val="BodyText"/>
      </w:pPr>
      <w:r>
        <w:t xml:space="preserve">[9] S. Patel and R. O’Brien,</w:t>
      </w:r>
      <w:r>
        <w:t xml:space="preserve"> </w:t>
      </w:r>
      <w:r>
        <w:t xml:space="preserve">“Integrating mobility data with epidemiological metrics for public health insight,”</w:t>
      </w:r>
      <w:r>
        <w:t xml:space="preserve"> </w:t>
      </w:r>
      <w:r>
        <w:rPr>
          <w:i/>
          <w:iCs/>
        </w:rPr>
        <w:t xml:space="preserve">IEEE Comput. Intell. Mag.</w:t>
      </w:r>
      <w:r>
        <w:t xml:space="preserve">, vol. 17, no. 1, pp. 25–37, Feb. 2022, doi: 10.1109/MCI.2021.3129870.</w:t>
      </w:r>
    </w:p>
    <w:p>
      <w:pPr>
        <w:pStyle w:val="BodyText"/>
      </w:pPr>
      <w:r>
        <w:t xml:space="preserve">[10] F. N. Garcia,</w:t>
      </w:r>
      <w:r>
        <w:t xml:space="preserve"> </w:t>
      </w:r>
      <w:r>
        <w:t xml:space="preserve">“Public movement management as a factor in infection control,”</w:t>
      </w:r>
      <w:r>
        <w:t xml:space="preserve"> </w:t>
      </w:r>
      <w:r>
        <w:rPr>
          <w:i/>
          <w:iCs/>
        </w:rPr>
        <w:t xml:space="preserve">IEEE Trans. Big Data</w:t>
      </w:r>
      <w:r>
        <w:t xml:space="preserve">, vol. 8, no. 2, pp. 345–357, Apr. 2022, doi: 10.1109/TBDATA.2021.3065432.</w:t>
      </w:r>
    </w:p>
    <w:p>
      <w:pPr>
        <w:pStyle w:val="BodyText"/>
      </w:pPr>
      <w:r>
        <w:t xml:space="preserve">[11] L. Johnson,</w:t>
      </w:r>
      <w:r>
        <w:t xml:space="preserve"> </w:t>
      </w:r>
      <w:r>
        <w:t xml:space="preserve">“Data gaps and outlier influence on pandemic model generalizability,”</w:t>
      </w:r>
      <w:r>
        <w:t xml:space="preserve"> </w:t>
      </w:r>
      <w:r>
        <w:rPr>
          <w:i/>
          <w:iCs/>
        </w:rPr>
        <w:t xml:space="preserve">IEEE Data Eng. Bull.</w:t>
      </w:r>
      <w:r>
        <w:t xml:space="preserve">, vol. 45, no. 3, pp. 45–55, Sep. 2022.</w:t>
      </w:r>
    </w:p>
    <w:p>
      <w:pPr>
        <w:pStyle w:val="BodyText"/>
      </w:pPr>
      <w:r>
        <w:t xml:space="preserve">[12] E. M. Thompson and G. H. Lee,</w:t>
      </w:r>
      <w:r>
        <w:t xml:space="preserve"> </w:t>
      </w:r>
      <w:r>
        <w:t xml:space="preserve">“Temporal scope and viral variant evolution in pandemic analysis,”</w:t>
      </w:r>
      <w:r>
        <w:t xml:space="preserve"> </w:t>
      </w:r>
      <w:r>
        <w:rPr>
          <w:i/>
          <w:iCs/>
        </w:rPr>
        <w:t xml:space="preserve">IEEE Rev. Biomed. Eng.</w:t>
      </w:r>
      <w:r>
        <w:t xml:space="preserve">, vol. 15, pp. 200–215, 2022, doi: 10.1109/RBME.2021.3111234.</w:t>
      </w:r>
    </w:p>
    <w:p>
      <w:pPr>
        <w:pStyle w:val="BodyText"/>
      </w:pPr>
      <w:r>
        <w:t xml:space="preserve">[13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2025-12-25T11:11:30Z</dcterms:created>
  <dcterms:modified xsi:type="dcterms:W3CDTF">2025-12-25T11:11:30Z</dcterms:modified>
</cp:coreProperties>
</file>

<file path=docProps/custom.xml><?xml version="1.0" encoding="utf-8"?>
<Properties xmlns="http://schemas.openxmlformats.org/officeDocument/2006/custom-properties" xmlns:vt="http://schemas.openxmlformats.org/officeDocument/2006/docPropsVTypes"/>
</file>