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HOSPITAL INTERZONAL GENERAL DE AGUDOS “Gral. SAN MARTIN” -La Plata-</w:t>
        <w:br/>
      </w:r>
      <w:r>
        <w:t>SERVICIO DE NEUROLOGÍA</w:t>
        <w:br/>
        <w:t>SECCIÓN DE ENFERMEDADES DESMIELINIZANTES</w:t>
        <w:br/>
      </w:r>
    </w:p>
    <w:p>
      <w:pPr>
        <w:jc w:val="center"/>
      </w:pPr>
      <w:r>
        <w:rPr>
          <w:b/>
          <w:sz w:val="24"/>
          <w:u w:val="single"/>
        </w:rPr>
        <w:t xml:space="preserve">RESUMEN DE HISTORIA CLÍNICA </w:t>
      </w:r>
    </w:p>
    <w:p>
      <w:r>
        <w:t>La Plata, 8 de Febrero de 2026</w:t>
      </w:r>
    </w:p>
    <w:p>
      <w:r>
        <w:rPr>
          <w:b/>
        </w:rPr>
        <w:t xml:space="preserve">Apellido y nombre: </w:t>
      </w:r>
      <w:r>
        <w:t>Guillermina Castillo Silva.</w:t>
        <w:tab/>
      </w:r>
      <w:r>
        <w:rPr>
          <w:b/>
        </w:rPr>
        <w:t xml:space="preserve">DNI: </w:t>
      </w:r>
      <w:r>
        <w:t>22997218</w:t>
        <w:br/>
      </w:r>
      <w:r>
        <w:rPr>
          <w:b/>
        </w:rPr>
        <w:t xml:space="preserve">Fecha de Nacimiento: </w:t>
      </w:r>
      <w:r>
        <w:t>21/02/1974</w:t>
        <w:tab/>
      </w:r>
      <w:r>
        <w:rPr>
          <w:b/>
        </w:rPr>
        <w:t>Obra Social: IOMA</w:t>
        <w:tab/>
        <w:tab/>
        <w:t xml:space="preserve">Nº de afiliado: </w:t>
      </w:r>
      <w:r>
        <w:t>22997218/00</w:t>
        <w:br/>
      </w:r>
      <w:r>
        <w:rPr>
          <w:b/>
        </w:rPr>
        <w:t xml:space="preserve">Asistida desde: </w:t>
      </w:r>
      <w:r>
        <w:t>15/02/1997</w:t>
      </w:r>
    </w:p>
    <w:p>
      <w:r>
        <w:rPr>
          <w:b/>
        </w:rPr>
        <w:t xml:space="preserve">Antecedentes personales: </w:t>
      </w:r>
      <w:r>
        <w:t xml:space="preserve">Niega alergias medicamentosas. Tabaquismo leve. </w:t>
      </w:r>
    </w:p>
    <w:p>
      <w:r>
        <w:rPr>
          <w:b/>
        </w:rPr>
        <w:t xml:space="preserve">Síntomas principales: </w:t>
      </w:r>
      <w:r>
        <w:t xml:space="preserve">Curso de brotes y remisiones. </w:t>
      </w:r>
      <w:r>
        <w:t xml:space="preserve">Debut en 1997 con parestesias y neuritis óptica. </w:t>
      </w:r>
    </w:p>
    <w:p>
      <w:r>
        <w:rPr>
          <w:b/>
        </w:rPr>
        <w:t xml:space="preserve">Evolución: </w:t>
      </w:r>
      <w:r>
        <w:t xml:space="preserve">Libre de recaídas clínicas en el último año. </w:t>
      </w:r>
      <w:r>
        <w:t>Tiempo de evolución: 29 años.</w:t>
        <w:br/>
      </w:r>
      <w:r>
        <w:t>EDSS actual: 2.5.</w:t>
      </w:r>
    </w:p>
    <w:p>
      <w:pPr>
        <w:pStyle w:val="Heading3"/>
      </w:pPr>
      <w:r>
        <w:t>Estudios realizados:</w:t>
      </w:r>
    </w:p>
    <w:p>
      <w:r>
        <w:t>• RMN de cerebro y médula (10/01/26): Sin cambios significativos respecto a estudios previos. Persisten lesiones desmielinizantes conocidas sin evidencia de nuevas lesiones ni captación de Gd. Enfermedad radiológicamente estable.</w:t>
      </w:r>
    </w:p>
    <w:p>
      <w:r>
        <w:rPr>
          <w:b/>
        </w:rPr>
        <w:t xml:space="preserve">Solicito: </w:t>
      </w:r>
      <w:r>
        <w:t xml:space="preserve">Solicito continuidad de tratamiento con: </w:t>
      </w:r>
      <w:r>
        <w:rPr>
          <w:b/>
        </w:rPr>
        <w:t>Blastoferón (Interferón Beta-1a).</w:t>
        <w:br/>
      </w:r>
      <w:r>
        <w:t>Dosis: 12 MUI. Frecuencia: 3 veces por semana.</w:t>
        <w:br/>
      </w:r>
      <w:r>
        <w:t>Tratamiento prolongado.</w:t>
      </w:r>
    </w:p>
    <w:p>
      <w:pPr>
        <w:jc w:val="right"/>
      </w:pPr>
      <w:r>
        <w:br/>
        <w:br/>
      </w:r>
      <w:r>
        <w:t>Dr. Blanco Santiago</w:t>
        <w:br/>
        <w:t>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