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>RESUMEN DE HISTORIA CLÍNICA - URGENTE</w:t>
      </w:r>
    </w:p>
    <w:p>
      <w:r>
        <w:t>La Plata, 8 de Febrero de 2026</w:t>
      </w:r>
    </w:p>
    <w:p>
      <w:r>
        <w:rPr>
          <w:b/>
        </w:rPr>
        <w:t xml:space="preserve">Apellido y nombre: </w:t>
      </w:r>
      <w:r>
        <w:t>Joaquin Aguirre Martinez.</w:t>
        <w:tab/>
      </w:r>
      <w:r>
        <w:rPr>
          <w:b/>
        </w:rPr>
        <w:t xml:space="preserve">DNI: </w:t>
      </w:r>
      <w:r>
        <w:t>41214389</w:t>
        <w:br/>
      </w:r>
      <w:r>
        <w:rPr>
          <w:b/>
        </w:rPr>
        <w:t xml:space="preserve">Fecha de Nacimiento: </w:t>
      </w:r>
      <w:r>
        <w:t>19/02/1984</w:t>
        <w:tab/>
      </w:r>
      <w:r>
        <w:rPr>
          <w:b/>
        </w:rPr>
        <w:t>Obra Social: IOMA</w:t>
        <w:tab/>
        <w:tab/>
        <w:t xml:space="preserve">Nº de afiliado: </w:t>
      </w:r>
      <w:r>
        <w:t>41214389/00</w:t>
        <w:br/>
      </w:r>
      <w:r>
        <w:rPr>
          <w:b/>
        </w:rPr>
        <w:t xml:space="preserve">Asistida desde: </w:t>
      </w:r>
      <w:r>
        <w:t>13/02/2005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2005 con parestesias y neuritis óptica. </w:t>
      </w:r>
    </w:p>
    <w:p>
      <w:r>
        <w:rPr>
          <w:b/>
        </w:rPr>
        <w:t xml:space="preserve">Evolución: </w:t>
      </w:r>
      <w:r>
        <w:t xml:space="preserve">Presentó recaída clínica reciente motor/sensitiva. </w:t>
      </w:r>
      <w:r>
        <w:t>Tiempo de evolución: 21 años.</w:t>
        <w:br/>
      </w:r>
      <w:r>
        <w:t>EDSS actual: 3.5.</w:t>
      </w:r>
    </w:p>
    <w:p>
      <w:pPr>
        <w:pStyle w:val="Heading3"/>
      </w:pPr>
      <w:r>
        <w:t>Estudios realizados:</w:t>
      </w:r>
    </w:p>
    <w:p>
      <w:r>
        <w:t>• RMN de cerebro y médula (08/01/26): Se observan múltiples imágenes focales (8) en sustancia blanca periventricular. Se identifica al menos una lesión con realce tras la administración de Gadolinio (Activa). Compatible con actividad inflamatoria actual.</w:t>
      </w:r>
    </w:p>
    <w:p>
      <w:r>
        <w:rPr>
          <w:b/>
        </w:rPr>
        <w:t xml:space="preserve">Solicito: </w:t>
      </w:r>
      <w:r>
        <w:t xml:space="preserve">Solicito inicio de tratamiento con: </w:t>
      </w:r>
      <w:r>
        <w:rPr>
          <w:b/>
        </w:rPr>
        <w:t>Tysabri (Natalizumab).</w:t>
        <w:br/>
      </w:r>
      <w:r>
        <w:t>Dosis: 300 mg. Frecuencia: Mensual (cada 28 días).</w:t>
        <w:br/>
      </w:r>
      <w:r>
        <w:t>Tratamiento prolongado.</w:t>
      </w:r>
    </w:p>
    <w:p>
      <w:pPr>
        <w:jc w:val="right"/>
      </w:pPr>
      <w:r>
        <w:br/>
        <w:br/>
      </w:r>
      <w:r>
        <w:t>Dr. Ruiz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