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27 de Junio de 2020</w:t>
      </w:r>
    </w:p>
    <w:p>
      <w:r>
        <w:rPr>
          <w:b/>
        </w:rPr>
        <w:t xml:space="preserve">Apellido y Nombre: </w:t>
      </w:r>
      <w:r>
        <w:t>Alma Valentina Morales.</w:t>
        <w:tab/>
      </w:r>
      <w:r>
        <w:rPr>
          <w:b/>
        </w:rPr>
        <w:t xml:space="preserve">DNI: </w:t>
      </w:r>
      <w:r>
        <w:t>35179902</w:t>
        <w:br/>
      </w:r>
      <w:r>
        <w:rPr>
          <w:b/>
        </w:rPr>
        <w:t xml:space="preserve">Fecha Nac: </w:t>
      </w:r>
      <w:r>
        <w:t>07/07/1983 (37 años).</w:t>
        <w:tab/>
      </w:r>
      <w:r>
        <w:rPr>
          <w:b/>
        </w:rPr>
        <w:t xml:space="preserve">Obra Social: IOMA. Nº Afiliado: </w:t>
      </w:r>
      <w:r>
        <w:t>35179902/00</w:t>
        <w:br/>
      </w:r>
      <w:r>
        <w:rPr>
          <w:b/>
        </w:rPr>
        <w:t xml:space="preserve">Asistida desde: </w:t>
      </w:r>
      <w:r>
        <w:t>2005</w:t>
      </w:r>
    </w:p>
    <w:p>
      <w:r>
        <w:t>Niega alergias medicamentosas conocidas. Antecedentes: Ansiedad, Gastritis crónica, Tabaquismo leve.</w:t>
      </w:r>
    </w:p>
    <w:p>
      <w:r>
        <w:rPr>
          <w:b/>
        </w:rPr>
        <w:t>Síntomas Principales y Evolución:</w:t>
      </w:r>
    </w:p>
    <w:p>
      <w:r>
        <w:t>En un curso clínico de brotes y remisiones (RR), desarrolló recaídas compatibles con afección multifocal de sustancia blanca del SNC:</w:t>
        <w:br/>
        <w:t>-(1°) 1 de Julio de 2005: Debut clínico caracterizado por síndrome cerebeloso con inestabilidad y dismetría. Recibió pulsos de metilprednisolona con buena respuesta (restitutio ad integrum).</w:t>
        <w:br/>
        <w:t>-(2°) 27 de Marzo de 2007: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(07/05/20): Hemograma, hepatograma, función renal y tiroidea dentro de parámetros normales. Serologías virales negativas.</w:t>
        <w:br/>
        <w:t>- Potenciales Evocados Visuales (28/06/18): Latencias P100 prolongadas bilateralmente (OD:109ms, OI:107ms).</w:t>
        <w:br/>
        <w:t>- RMN de Control (08/06/20):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