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17 de Enero de 2021</w:t>
      </w:r>
    </w:p>
    <w:p>
      <w:r>
        <w:rPr>
          <w:b/>
        </w:rPr>
        <w:t xml:space="preserve">Apellido y Nombre: </w:t>
      </w:r>
      <w:r>
        <w:t>Benicio Torres.</w:t>
        <w:tab/>
      </w:r>
      <w:r>
        <w:rPr>
          <w:b/>
        </w:rPr>
        <w:t xml:space="preserve">DNI: </w:t>
      </w:r>
      <w:r>
        <w:t>37165240</w:t>
        <w:br/>
      </w:r>
      <w:r>
        <w:rPr>
          <w:b/>
        </w:rPr>
        <w:t xml:space="preserve">Fecha Nac: </w:t>
      </w:r>
      <w:r>
        <w:t>25/01/1989 (32 años).</w:t>
        <w:tab/>
      </w:r>
      <w:r>
        <w:rPr>
          <w:b/>
        </w:rPr>
        <w:t xml:space="preserve">Obra Social: IOMA. Nº Afiliado: </w:t>
      </w:r>
      <w:r>
        <w:t>37165240/00</w:t>
        <w:br/>
      </w:r>
      <w:r>
        <w:rPr>
          <w:b/>
        </w:rPr>
        <w:t xml:space="preserve">Asistida desde: </w:t>
      </w:r>
      <w:r>
        <w:t>2011</w:t>
      </w:r>
    </w:p>
    <w:p>
      <w:r>
        <w:t>Sin antecedentes patológicos de relevancia. Antecedentes: Migraña episódica, Hipotiroidismo levotiroxina 100mcg, Tabaquismo leve.</w:t>
      </w:r>
    </w:p>
    <w:p>
      <w:r>
        <w:rPr>
          <w:b/>
        </w:rPr>
        <w:t>Síntomas Principales y Evolución:</w:t>
      </w:r>
    </w:p>
    <w:p>
      <w:r>
        <w:t>En un curso clínico de brotes y remisiones (RR), desarrolló recaídas compatibles con afección multifocal de sustancia blanca del SNC:</w:t>
        <w:br/>
        <w:t>-(1°) 20 de Enero de 2011: Debut clínico caracterizado por parestesias con hipoestesias en hemicuerpo derecho. Recibió pulsos de metilprednisolona con buena respuesta (restitutio ad integrum).</w:t>
        <w:br/>
        <w:t>-(2°) 15 de Enero de 2013: Nuevo episodio de debilidad (paresia) crural derecha con claudicación de la marcha.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(24/12/20): Hemograma, hepatograma, función renal y tiroidea dentro de parámetros normales. Serologías virales negativas.</w:t>
        <w:br/>
        <w:t>- Potenciales Evocados Visuales (18/01/19): Latencias P100 prolongadas bilateralmente (OD:106ms, OI:104ms).</w:t>
        <w:br/>
        <w:t>- RMN de Control (06/01/21):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Dimetil Fumarato.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Tecfidera (Dimetil Fumarato).</w:t>
        <w:br/>
      </w:r>
      <w:r>
        <w:t>Dosis: 240 mg. Vía: Oral. Frecuencia: 2 veces por día.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