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4 de Octubre de 2023</w:t>
      </w:r>
    </w:p>
    <w:p>
      <w:r>
        <w:rPr>
          <w:b/>
        </w:rPr>
        <w:t xml:space="preserve">Apellido y Nombre: </w:t>
      </w:r>
      <w:r>
        <w:t>Guadalupe Martinez.</w:t>
        <w:tab/>
      </w:r>
      <w:r>
        <w:rPr>
          <w:b/>
        </w:rPr>
        <w:t xml:space="preserve">DNI: </w:t>
      </w:r>
      <w:r>
        <w:t>42444071</w:t>
        <w:br/>
      </w:r>
      <w:r>
        <w:rPr>
          <w:b/>
        </w:rPr>
        <w:t xml:space="preserve">Fecha Nac: </w:t>
      </w:r>
      <w:r>
        <w:t>16/10/1972 (51 años).</w:t>
        <w:tab/>
      </w:r>
      <w:r>
        <w:rPr>
          <w:b/>
        </w:rPr>
        <w:t xml:space="preserve">Obra Social: IOMA. Nº Afiliado: </w:t>
      </w:r>
      <w:r>
        <w:t>42444071/00</w:t>
        <w:br/>
      </w:r>
      <w:r>
        <w:rPr>
          <w:b/>
        </w:rPr>
        <w:t xml:space="preserve">Asistida desde: </w:t>
      </w:r>
      <w:r>
        <w:t>1996</w:t>
      </w:r>
    </w:p>
    <w:p>
      <w:r>
        <w:t>Alergia a penicilina. Antecedentes: Migraña episódica, Hipotiroidismo levotiroxina 100mcg.</w:t>
      </w:r>
    </w:p>
    <w:p>
      <w:r>
        <w:rPr>
          <w:b/>
        </w:rPr>
        <w:t>Síntomas Principales y Evolución:</w:t>
      </w:r>
    </w:p>
    <w:p>
      <w:r>
        <w:t>En un curso clínico de brotes y remisiones (RR), desarrolló recaídas compatibles con afección multifocal de sustancia blanca del SNC:</w:t>
        <w:br/>
        <w:t>-(1°) 10 de Octubre de 1996: Debut clínico caracterizado por parestesias con hipoestesias en hemicuerpo derecho. Recibió pulsos de metilprednisolona con buena respuesta (restitutio ad integrum).</w:t>
        <w:br/>
        <w:t>-(2°) 24 de Julio de 1998: Nuevo episodio de parestesias con hipoestesias en hemicuerpo derecho. Desde entonces se mantiene libre de nuevos eventos clínicos neurológicos.</w:t>
      </w:r>
    </w:p>
    <w:p>
      <w:r>
        <w:rPr>
          <w:b/>
        </w:rPr>
        <w:t xml:space="preserve">Examen Neurológico (EDSS Actual: 2.5): </w:t>
      </w:r>
      <w:r>
        <w:t xml:space="preserve">Paciente lúcido. Pares craneales conservados. </w:t>
      </w:r>
      <w:r>
        <w:t>Fuerza conservada 5/5. Reflejos vivos simétricos. Sin signos de foco.</w:t>
      </w:r>
    </w:p>
    <w:p>
      <w:r>
        <w:t>Estudios realizados (entre otros):</w:t>
        <w:br/>
        <w:t>- Laboratorio rutina (05/08/23): Hemograma, hepatograma, función renal y tiroidea dentro de parámetros normales. Serologías virales negativas.</w:t>
        <w:br/>
        <w:t>- Potenciales Evocados Visuales (04/10/21): Latencias P100 prolongadas bilateralmente (OD:107ms, OI:107ms).</w:t>
        <w:br/>
        <w:t>- RMN de Control (24/09/23): Sin cambios significativos respecto a estudios previos. Estabilidad de la carga lesional. No se observan nuevas lesiones ni captación de contraste (Gd -). Enfermedad radiológicamente estable.</w:t>
      </w:r>
    </w:p>
    <w:p>
      <w:r>
        <w:rPr>
          <w:b/>
        </w:rPr>
        <w:t xml:space="preserve">Diagnóstico: </w:t>
      </w:r>
      <w:r>
        <w:t>Esclerosis Múltiple Forma Remitente-Recurrente (CIE-10 G35).</w:t>
      </w:r>
    </w:p>
    <w:p>
      <w:r>
        <w:rPr>
          <w:b/>
        </w:rPr>
        <w:t xml:space="preserve">Comentario Médico: </w:t>
      </w:r>
      <w:r>
        <w:t>La paciente evoluciona con estabilidad bajo tratamiento con Natalizumab. Se indica CONTINUIDAD.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Tysabri (Natalizumab).</w:t>
        <w:br/>
      </w:r>
      <w:r>
        <w:t>Dosis: 300 mg. Vía: EV. Frecuencia: Mensual (cada 28 días).</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