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20 de Octubre de 2022</w:t>
      </w:r>
    </w:p>
    <w:p>
      <w:r>
        <w:rPr>
          <w:b/>
        </w:rPr>
        <w:t xml:space="preserve">Apellido y Nombre: </w:t>
      </w:r>
      <w:r>
        <w:t>Juan Manuel Paz.</w:t>
        <w:tab/>
      </w:r>
      <w:r>
        <w:rPr>
          <w:b/>
        </w:rPr>
        <w:t xml:space="preserve">DNI: </w:t>
      </w:r>
      <w:r>
        <w:t>35880611</w:t>
        <w:br/>
      </w:r>
      <w:r>
        <w:rPr>
          <w:b/>
        </w:rPr>
        <w:t xml:space="preserve">Fecha Nac: </w:t>
      </w:r>
      <w:r>
        <w:t>28/10/1989 (33 años).</w:t>
        <w:tab/>
      </w:r>
      <w:r>
        <w:rPr>
          <w:b/>
        </w:rPr>
        <w:t xml:space="preserve">Obra Social: IOMA. Nº Afiliado: </w:t>
      </w:r>
      <w:r>
        <w:t>35880611/00</w:t>
        <w:br/>
      </w:r>
      <w:r>
        <w:rPr>
          <w:b/>
        </w:rPr>
        <w:t xml:space="preserve">Asistida desde: </w:t>
      </w:r>
      <w:r>
        <w:t>2010</w:t>
      </w:r>
    </w:p>
    <w:p>
      <w:r>
        <w:t>Sin antecedentes patológicos de relevancia. Antecedentes: Ansiedad.</w:t>
      </w:r>
    </w:p>
    <w:p>
      <w:r>
        <w:rPr>
          <w:b/>
        </w:rPr>
        <w:t>Síntomas Principales y Evolución:</w:t>
      </w:r>
    </w:p>
    <w:p>
      <w:r>
        <w:t>En un curso clínico de brotes y remisiones (RR), desarrolló recaídas compatibles con afección multifocal de sustancia blanca del SNC:</w:t>
        <w:br/>
        <w:t>-(1°) 23 de Octubre de 2010: Debut clínico caracterizado por debilidad (paresia) crural derecha con claudicación de la marcha. Recibió pulsos de metilprednisolona con buena respuesta (restitutio ad integrum).</w:t>
        <w:br/>
        <w:t xml:space="preserve">-(2°) 6 de Abril de 2012: Nuevo episodio de urgencia miccional y trastornos esfinterianos. </w:t>
        <w:br/>
        <w:t>-(3°) 7 de Enero de 2026: Reactivación clínica con debilidad (paresia) crural derecha con claudicación de la marcha. Persiste con secuelas motoras leves.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(04/10/22): Hemograma, hepatograma, función renal y tiroidea dentro de parámetros normales. Serologías virales negativas.</w:t>
        <w:br/>
        <w:t>- Potenciales Evocados Visuales (20/10/20): Latencias P100 prolongadas bilateralmente (OD:120ms, OI:103ms).</w:t>
        <w:br/>
        <w:t>- RMN de Control (04/10/22):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Natalizumab.</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