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19 de Marzo de 2020</w:t>
      </w:r>
    </w:p>
    <w:p>
      <w:r>
        <w:rPr>
          <w:b/>
        </w:rPr>
        <w:t xml:space="preserve">Apellido y Nombre: </w:t>
      </w:r>
      <w:r>
        <w:t>Santiago Benjamin Benitez.</w:t>
        <w:tab/>
      </w:r>
      <w:r>
        <w:rPr>
          <w:b/>
        </w:rPr>
        <w:t xml:space="preserve">DNI: </w:t>
      </w:r>
      <w:r>
        <w:t>33648250</w:t>
        <w:br/>
      </w:r>
      <w:r>
        <w:rPr>
          <w:b/>
        </w:rPr>
        <w:t xml:space="preserve">Fecha Nac: </w:t>
      </w:r>
      <w:r>
        <w:t>01/04/1970 (50 años).</w:t>
        <w:tab/>
      </w:r>
      <w:r>
        <w:rPr>
          <w:b/>
        </w:rPr>
        <w:t xml:space="preserve">Obra Social: IOMA. Nº Afiliado: </w:t>
      </w:r>
      <w:r>
        <w:t>33648250/00</w:t>
        <w:br/>
      </w:r>
      <w:r>
        <w:rPr>
          <w:b/>
        </w:rPr>
        <w:t xml:space="preserve">Asistida desde: </w:t>
      </w:r>
      <w:r>
        <w:t>1995</w:t>
      </w:r>
    </w:p>
    <w:p>
      <w:r>
        <w:t>Sin antecedentes patológicos de relevancia. Antecedentes: Insomnio, Hipotiroidismo levotiroxina 100mcg, Tabaquismo leve.</w:t>
      </w:r>
    </w:p>
    <w:p>
      <w:r>
        <w:rPr>
          <w:b/>
        </w:rPr>
        <w:t>Síntomas Principales y Evolución:</w:t>
      </w:r>
    </w:p>
    <w:p>
      <w:r>
        <w:t>En un curso clínico de brotes y remisiones (RR), desarrolló recaídas compatibles con afección multifocal de sustancia blanca del SNC:</w:t>
        <w:br/>
        <w:t>-(1°) 26 de Marzo de 1995: Debut clínico caracterizado por síndrome cerebeloso con inestabilidad y dismetría. Recibió pulsos de metilprednisolona con buena respuesta (restitutio ad integrum).</w:t>
        <w:br/>
        <w:t>-(2°) 29 de Agosto de 1996: Nuevo episodio de diplopía por oftalmoplejía internuclear.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(09/02/20): Hemograma, hepatograma, función renal y tiroidea dentro de parámetros normales. Serologías virales negativas.</w:t>
        <w:br/>
        <w:t>- Potenciales Evocados Visuales (20/03/18): Latencias P100 prolongadas bilateralmente (OD:108ms, OI:106ms).</w:t>
        <w:br/>
        <w:t>- RMN de Control (03/03/20):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Acetato de Glatiramer.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Copaxone (Acetato de Glatiramer).</w:t>
        <w:br/>
      </w:r>
      <w:r>
        <w:t>Dosis: 40 mg. Vía: SC. Frecuencia: 3 veces por semana.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