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19 de Agosto de 2023</w:t>
      </w:r>
    </w:p>
    <w:p>
      <w:r>
        <w:rPr>
          <w:b/>
        </w:rPr>
        <w:t xml:space="preserve">Apellido y Nombre: </w:t>
      </w:r>
      <w:r>
        <w:t>Juan Manuel Paz.</w:t>
        <w:tab/>
      </w:r>
      <w:r>
        <w:rPr>
          <w:b/>
        </w:rPr>
        <w:t xml:space="preserve">DNI: </w:t>
      </w:r>
      <w:r>
        <w:t>35880611</w:t>
        <w:br/>
      </w:r>
      <w:r>
        <w:rPr>
          <w:b/>
        </w:rPr>
        <w:t xml:space="preserve">Fecha Nac: </w:t>
      </w:r>
      <w:r>
        <w:t>30/08/1979 (44 años).</w:t>
        <w:tab/>
      </w:r>
      <w:r>
        <w:rPr>
          <w:b/>
        </w:rPr>
        <w:t xml:space="preserve">Obra Social: IOMA. Nº Afiliado: </w:t>
      </w:r>
      <w:r>
        <w:t>35880611/00</w:t>
        <w:br/>
      </w:r>
      <w:r>
        <w:rPr>
          <w:b/>
        </w:rPr>
        <w:t xml:space="preserve">Asistida desde: </w:t>
      </w:r>
      <w:r>
        <w:t>2000</w:t>
      </w:r>
    </w:p>
    <w:p>
      <w:r>
        <w:t>Alergia a penicilina. Antecedentes: Migraña episódica.</w:t>
      </w:r>
    </w:p>
    <w:p>
      <w:r>
        <w:rPr>
          <w:b/>
        </w:rPr>
        <w:t>Síntomas Principales y Evolución:</w:t>
      </w:r>
    </w:p>
    <w:p>
      <w:r>
        <w:t>En un curso clínico de brotes y remisiones (RR), desarrolló recaídas compatibles con afección multifocal de sustancia blanca del SNC:</w:t>
        <w:br/>
        <w:t>-(1°) 24 de Agosto de 2000: Debut clínico caracterizado por neuritis óptica retrobulbar con dolor a la movilización ocular. Recibió pulsos de metilprednisolona con buena respuesta (restitutio ad integrum).</w:t>
        <w:br/>
        <w:t>-(2°) 11 de Septiembre de 2002: Nuevo episodio de neuritis óptica retrobulbar con dolor a la movilización ocular. Desde entonces se mantiene libre de nuevos eventos clínicos neurológicos.</w:t>
      </w:r>
    </w:p>
    <w:p>
      <w:r>
        <w:rPr>
          <w:b/>
        </w:rPr>
        <w:t xml:space="preserve">Examen Neurológico (EDSS Actual: 2.5): </w:t>
      </w:r>
      <w:r>
        <w:t xml:space="preserve">Paciente lúcido. Pares craneales conservados. </w:t>
      </w:r>
      <w:r>
        <w:t>Fuerza conservada 5/5. Reflejos vivos simétricos. Sin signos de foco.</w:t>
      </w:r>
    </w:p>
    <w:p>
      <w:r>
        <w:t>Estudios realizados (entre otros):</w:t>
        <w:br/>
        <w:t>- Laboratorio rutina (26/06/23): Hemograma, hepatograma, función renal y tiroidea dentro de parámetros normales. Serologías virales negativas.</w:t>
        <w:br/>
        <w:t>- Potenciales Evocados Visuales (19/08/21): Latencias P100 prolongadas bilateralmente (OD:118ms, OI:109ms).</w:t>
        <w:br/>
        <w:t>- RMN de Control (02/08/23):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Natalizumab.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