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26 de Julio de 2023</w:t>
      </w:r>
    </w:p>
    <w:p>
      <w:r>
        <w:rPr>
          <w:b/>
        </w:rPr>
        <w:t xml:space="preserve">Apellido y Nombre: </w:t>
      </w:r>
      <w:r>
        <w:t>Santiago Benjamin Benitez.</w:t>
        <w:tab/>
      </w:r>
      <w:r>
        <w:rPr>
          <w:b/>
        </w:rPr>
        <w:t xml:space="preserve">DNI: </w:t>
      </w:r>
      <w:r>
        <w:t>33648250</w:t>
        <w:br/>
      </w:r>
      <w:r>
        <w:rPr>
          <w:b/>
        </w:rPr>
        <w:t xml:space="preserve">Fecha Nac: </w:t>
      </w:r>
      <w:r>
        <w:t>07/08/1975 (48 años).</w:t>
        <w:tab/>
      </w:r>
      <w:r>
        <w:rPr>
          <w:b/>
        </w:rPr>
        <w:t xml:space="preserve">Obra Social: IOMA. Nº Afiliado: </w:t>
      </w:r>
      <w:r>
        <w:t>33648250/00</w:t>
        <w:br/>
      </w:r>
      <w:r>
        <w:rPr>
          <w:b/>
        </w:rPr>
        <w:t xml:space="preserve">Asistida desde: </w:t>
      </w:r>
      <w:r>
        <w:t>1999</w:t>
      </w:r>
    </w:p>
    <w:p>
      <w:r>
        <w:t>Alergia a penicilina. Antecedentes: Tabaquismo leve.</w:t>
      </w:r>
    </w:p>
    <w:p>
      <w:r>
        <w:rPr>
          <w:b/>
        </w:rPr>
        <w:t>Síntomas Principales y Evolución:</w:t>
      </w:r>
    </w:p>
    <w:p>
      <w:r>
        <w:t>En un curso clínico de brotes y remisiones (RR), desarrolló recaídas compatibles con afección multifocal de sustancia blanca del SNC:</w:t>
        <w:br/>
        <w:t>-(1°) 1 de Agosto de 1999: Debut clínico caracterizado por parestesias con hipoestesias en hemicuerpo derecho. Recibió pulsos de metilprednisolona con buena respuesta (restitutio ad integrum).</w:t>
        <w:br/>
        <w:t>-(2°) 28 de Febrero de 2001: Nuevo episodio de debilidad (paresia) crural derecha con claudicación de la marcha.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(20/06/23): Hemograma, hepatograma, función renal y tiroidea dentro de parámetros normales. Serologías virales negativas.</w:t>
        <w:br/>
        <w:t>- Potenciales Evocados Visuales (26/07/21): Latencias P100 prolongadas bilateralmente (OD:121ms, OI:111ms).</w:t>
        <w:br/>
        <w:t>- RMN de Control (12/07/23):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Acetato de Glatiramer.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Copaxone (Acetato de Glatiramer).</w:t>
        <w:br/>
      </w:r>
      <w:r>
        <w:t>Dosis: 40 mg.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