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6 de Octubre de 2022</w:t>
      </w:r>
    </w:p>
    <w:p>
      <w:r>
        <w:rPr>
          <w:b/>
        </w:rPr>
        <w:t xml:space="preserve">Apellido y Nombre: </w:t>
      </w:r>
      <w:r>
        <w:t>Santiago Benjamin Benitez.</w:t>
        <w:tab/>
      </w:r>
      <w:r>
        <w:rPr>
          <w:b/>
        </w:rPr>
        <w:t xml:space="preserve">DNI: </w:t>
      </w:r>
      <w:r>
        <w:t>33648250</w:t>
        <w:br/>
      </w:r>
      <w:r>
        <w:rPr>
          <w:b/>
        </w:rPr>
        <w:t xml:space="preserve">Fecha Nac: </w:t>
      </w:r>
      <w:r>
        <w:t>19/10/1970 (52 años).</w:t>
        <w:tab/>
      </w:r>
      <w:r>
        <w:rPr>
          <w:b/>
        </w:rPr>
        <w:t xml:space="preserve">Obra Social: IOMA. Nº Afiliado: </w:t>
      </w:r>
      <w:r>
        <w:t>33648250/00</w:t>
        <w:br/>
      </w:r>
      <w:r>
        <w:rPr>
          <w:b/>
        </w:rPr>
        <w:t xml:space="preserve">Asistida desde: </w:t>
      </w:r>
      <w:r>
        <w:t>1992</w:t>
      </w:r>
    </w:p>
    <w:p>
      <w:r>
        <w:t>Niega alergias medicamentosas conocidas. Antecedentes: Tabaquismo leve, Gastritis crónica, Migraña episódica.</w:t>
      </w:r>
    </w:p>
    <w:p>
      <w:r>
        <w:rPr>
          <w:b/>
        </w:rPr>
        <w:t>Síntomas Principales y Evolución:</w:t>
      </w:r>
    </w:p>
    <w:p>
      <w:r>
        <w:t>En un curso clínico de brotes y remisiones (RR), desarrolló recaídas compatibles con afección multifocal de sustancia blanca del SNC:</w:t>
        <w:br/>
        <w:t>-(1°) 13 de Octubre de 1992: Debut clínico caracterizado por diplopía por oftalmoplejía internuclear. Recibió pulsos de metilprednisolona con buena respuesta (restitutio ad integrum).</w:t>
        <w:br/>
        <w:t>-(2°) 30 de Noviembre de 1994: Nuevo episodio de diplopía por oftalmoplejía internuclear.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(20/09/22): Hemograma, hepatograma, función renal y tiroidea dentro de parámetros normales. Serologías virales negativas.</w:t>
        <w:br/>
        <w:t>- Potenciales Evocados Visuales (06/10/20): Latencias P100 prolongadas bilateralmente (OD:112ms, OI:105ms).</w:t>
        <w:br/>
        <w:t>- RMN de Control (16/09/22):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Acetato de Glatiramer.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Copaxone (Acetato de Glatiramer).</w:t>
        <w:br/>
      </w:r>
      <w:r>
        <w:t>Dosis: 40 mg.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