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25 de Septiembre de 2019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-hipotiroidismo en tratamiento + -rosácea.-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2012: episodio sensitivo con parestesias/hipoestesia de distribución dorsal que duró meses y restituyó casi ad integrum -(2°) mayo 2014: recaída de similares características, agregando mínimo componente motor y/o equilibrio. neuritis óptica / disminución de visión central. trastornos del equilibrio y coordinación con marcha inestable. disminución de la fuerza con torpeza motora. crisis vertiginosas. disestesias con hiperestesias quemantes. fatiga y termosensibilidad. Evolución: -Libre de recaídas, sin requerimientos de corticoides en los últimos meses.</w:t>
      </w:r>
    </w:p>
    <w:p>
      <w:r>
        <w:rPr>
          <w:b w:val="0"/>
        </w:rPr>
        <w:t>Datos semiológicos: Romberg + + R. Hoffman bilateral + síndrome bipiramidal a predominio crural + hemihipoestesia con nivel sensitivo dorsal + ataxia axial leve.- EDSS: 4.5.-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 (Avonex) 30 mcgrs. 1 vez/semana por vía IM. El objetivo es disminuir el número y la gravedad de las recaídas, retrasando la discapacidad acumulativa y previniendo la atrofia cerebral.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-Avonex: -Interferón beta 1a: 30 mcgrs., 1 vez/semana = 1 envase/28 días (4 aplicaciones).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