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24 de Enero de 2025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-diabetes tipo 2 + -rosácea + -síndrome de túnel carpiano + -ansiedad + -hipotiroidismo en tratamiento.-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2021: episodio sensitivo con parestesias/hipoestesia de distribución dorsal que duró meses y restituyó casi ad integrum -(2°) mayo 2024: recaída de similares características, agregando mínimo componente motor y/o equilibrio. disminución de la fuerza con torpeza motora. dolor neuropático tipo fulgurante y Lhermitte. constipación pertinaz. fatiga y termosensibilidad. Evolución: -Libre de recaídas, sin requerimientos de corticoides en los últimos meses.</w:t>
      </w:r>
    </w:p>
    <w:p>
      <w:r>
        <w:rPr>
          <w:b w:val="0"/>
        </w:rPr>
        <w:t>Datos semiológicos: hemihipoestesia con nivel sensitivo dorsal + ataxia axial leve + R. Hoffman bilateral.-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