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“SAN MARTIN”</w:t>
      </w:r>
    </w:p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</w:t>
      </w:r>
    </w:p>
    <w:p>
      <w:pPr>
        <w:jc w:val="center"/>
      </w:pPr>
      <w:r>
        <w:rPr>
          <w:b/>
        </w:rPr>
        <w:t>SECCIÓN DE ENFERMEDADES DESMIELINIZANTES                  URGENTE</w:t>
      </w:r>
    </w:p>
    <w:p/>
    <w:p>
      <w:pPr>
        <w:jc w:val="center"/>
      </w:pPr>
      <w:r>
        <w:rPr>
          <w:b/>
        </w:rPr>
        <w:t xml:space="preserve">     RESUMEN DE HISTORIA CLÍNICA.                                               La Plata, 02 de Febrero de 2021</w:t>
      </w:r>
    </w:p>
    <w:p/>
    <w:p>
      <w:r>
        <w:rPr>
          <w:b w:val="0"/>
        </w:rPr>
        <w:t>Apellido y nombre: Gómez, Federico.    DNI: 21.434.414        Fecha de Nacimiento: 08/03/61</w:t>
      </w:r>
    </w:p>
    <w:p>
      <w:r>
        <w:rPr>
          <w:b w:val="0"/>
        </w:rPr>
        <w:t>Dirección: 32 e/ 20 y 21 Nº 1550. La Plata. Teléfono: (0221)  494-9935 / 15- 2458591</w:t>
      </w:r>
    </w:p>
    <w:p>
      <w:r>
        <w:rPr>
          <w:b w:val="0"/>
        </w:rPr>
        <w:t>Obra Social: IOMA</w:t>
      </w:r>
    </w:p>
    <w:p>
      <w:r>
        <w:rPr>
          <w:b w:val="0"/>
        </w:rPr>
        <w:t xml:space="preserve">                       nº de afiliado: B13999315/00</w:t>
      </w:r>
    </w:p>
    <w:p>
      <w:r>
        <w:rPr>
          <w:b w:val="0"/>
        </w:rPr>
        <w:t>Asistida desde: 03/04/17</w:t>
      </w:r>
    </w:p>
    <w:p>
      <w:r>
        <w:rPr>
          <w:b w:val="0"/>
        </w:rPr>
        <w:t>Antecedente personales: -EPOC leve + -cervicalgia + -hipotiroidismo en tratamiento.-</w:t>
      </w:r>
    </w:p>
    <w:p>
      <w:r>
        <w:rPr>
          <w:b w:val="0"/>
        </w:rPr>
        <w:t>Antecedentes familiares: sin antecedentes neurológicos relevantes.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agosto 2015: episodio sensitivo con parestesias/hipoestesia de distribución dorsal que duró meses y restituyó casi ad integrum -(2°) marzo 2016: recaída de similares características, agregando mínimo componente motor y/o equilibrio. neuritis óptica / disminución de visión central. trastornos del equilibrio y coordinación con marcha inestable. fatiga y termosensibilidad. dolor neuropático tipo fulgurante y Lhermitte. Evolución: -Sin evidencia de actividad clínica reciente; controles radiológicos sin captación de gadolinio.</w:t>
      </w:r>
    </w:p>
    <w:p>
      <w:r>
        <w:rPr>
          <w:b w:val="0"/>
        </w:rPr>
        <w:t>Datos semiológicos: elementos esfinterianos vésico-rectales + síndrome bipiramidal a predominio crural + hemihipoestesia con nivel sensitivo dorsal + R. Hoffman bilateral + Romberg +.- EDSS: 2.0.-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cerebro: múltiples lesiones periventriculares, algunas hipointensas en T1 (agujeros negros), sin restricción en difusión.</w:t>
      </w:r>
    </w:p>
    <w:p>
      <w:r>
        <w:rPr>
          <w:b w:val="0"/>
        </w:rPr>
        <w:t>-RMN de médula cervical/dorsal: sin imágenes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Diagnóstico: Esclerosis Múltiple a Recaídas y Remisiones (OMS: 340).</w:t>
      </w:r>
    </w:p>
    <w:p>
      <w:r>
        <w:rPr>
          <w:b w:val="0"/>
        </w:rPr>
        <w:t>Comentario: el/la paciente debe continuar Urgente con la terapia inmunomoduladora: Interferón beta 1ª-r (libre de albúmina) (Rebif) 12 MUI (44 mcgrs.) c/u 3 veces/semana por vía SC. El objetivo es disminuir el número y la gravedad de las recaídas, retrasando la discapacidad acumulativa y previniendo la atrofia cerebral. Se trata de la dosificación ajustada según el estudio PRISMS.</w:t>
      </w:r>
    </w:p>
    <w:p>
      <w:r>
        <w:rPr>
          <w:b w:val="0"/>
        </w:rPr>
        <w:t>Además, tratamiento sintomático: -Gabapentín (Neurontin): 600 mg/día por vía oral, indicado para dolor neuropático. -Baclofeno (Lioresal): 40-80 mg/día por vía oral, indicado para espasticidad/hipertonía. -Modafinilo: 100-200 mg/día por vía oral, indicado para fatiga.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1998; Neurology 2001). EVIDENCE (Neurology 2002).</w:t>
      </w:r>
    </w:p>
    <w:p>
      <w:r>
        <w:rPr>
          <w:b w:val="0"/>
        </w:rPr>
        <w:t>Solicito: URGENTE continuidad para: -Rebif: -Interferón beta 1ª-r (libre de albúmina): 12 MUI (44 mcgrs.) c/u, 3 veces/semana = 1 envase/28 días (12 jeringas prellenadas).</w:t>
      </w:r>
    </w:p>
    <w:p>
      <w:r>
        <w:rPr>
          <w:b w:val="0"/>
        </w:rPr>
        <w:t xml:space="preserve">  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 Santiago 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