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28 de Diciembre de 2020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-tabaquismo + -hipertensión arterial + -diabetes tipo 2 + -hipotiroidismo en tratamiento + -migraña.-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2017: episodio sensitivo con parestesias/hipoestesia de distribución dorsal que duró meses y restituyó casi ad integrum -(2°) julio 2021: recaída de similares características, agregando mínimo componente motor y/o equilibrio. constipación pertinaz. trastornos del equilibrio y coordinación con marcha inestable. disminución de la fuerza con torpeza motora. dolor neuropático tipo fulgurante y Lhermitte. Evolución: -Libre de recaídas, sin requerimientos de corticoides en los últimos meses.</w:t>
      </w:r>
    </w:p>
    <w:p>
      <w:r>
        <w:rPr>
          <w:b w:val="0"/>
        </w:rPr>
        <w:t>Datos semiológicos: R. Hoffman bilateral + hemihipoestesia con nivel sensitivo dorsal + Romberg + + elementos mínimos de bipiramidalismo + ataxia axial leve.-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-Pregabalina (Lyrica): 150-300 mg/día por vía oral, indicado para dolor neuropático.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