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10 de Junio de 2025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-síndrome de túnel carpiano + -EPOC leve + -rosácea + -tabaquismo + -migraña.-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2022: episodio sensitivo con parestesias/hipoestesia de distribución dorsal que duró meses y restituyó casi ad integrum -(2°) enero 2024: recaída de similares características, agregando mínimo componente motor y/o equilibrio. disminución de la fuerza con torpeza motora. trastornos del equilibrio y coordinación con marcha inestable. dolor neuropático tipo fulgurante y Lhermitte. constipación pertinaz. disestesias con hiperestesias quemantes. neuritis óptica / disminución de visión central. Evolución: -Sin evidencia de actividad clínica reciente; controles radiológicos sin captación de gadolinio.</w:t>
      </w:r>
    </w:p>
    <w:p>
      <w:r>
        <w:rPr>
          <w:b w:val="0"/>
        </w:rPr>
        <w:t>Datos semiológicos: elementos mínimos de bipiramidalismo + elementos esfinterianos vésico-rectales + síndrome bipiramidal a predominio crural.- EDSS: 4.5.-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Acetato de glatiramer (Copaxone) 20 mg 1 vez/día por vía SC. El objetivo es disminuir el número y la gravedad de las recaídas, retrasando la discapacidad acumulativa y previniendo la atrofia cerebral.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-Copaxone: -Acetato de glatiramer: 20 mg, 1 vez/día = 1 envase/28-30 días.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