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22 de Febrero de 2025</w:t>
      </w:r>
    </w:p>
    <w:p/>
    <w:p>
      <w:r>
        <w:rPr>
          <w:b w:val="0"/>
        </w:rPr>
        <w:t>Apellido y nombre: Martínez, Nicolás.    DNI: 29.842.424        Fecha de Nacimiento: 12/04/97</w:t>
      </w:r>
    </w:p>
    <w:p>
      <w:r>
        <w:rPr>
          <w:b w:val="0"/>
        </w:rPr>
        <w:t>Dirección: 7 y 526. Tolosa, La Plata. Teléfono: (0221)  489-2169 / 15- 3871230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H31931511/00</w:t>
      </w:r>
    </w:p>
    <w:p>
      <w:r>
        <w:rPr>
          <w:b w:val="0"/>
        </w:rPr>
        <w:t>Asistida desde: 15/07/18</w:t>
      </w:r>
    </w:p>
    <w:p>
      <w:r>
        <w:rPr>
          <w:b w:val="0"/>
        </w:rPr>
        <w:t>Antecedente personales: -ansiedad + -migraña + -hipertensión arterial.-</w:t>
      </w:r>
    </w:p>
    <w:p>
      <w:r>
        <w:rPr>
          <w:b w:val="0"/>
        </w:rPr>
        <w:t>Antecedentes familiares: hermano con diabetes.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agosto 2013: episodio sensitivo con parestesias/hipoestesia de distribución dorsal que duró meses y restituyó casi ad integrum -(2°) abril 2016: recaída de similares características, agregando mínimo componente motor y/o equilibrio. trastornos del equilibrio y coordinación con marcha inestable. fatiga y termosensibilidad. disestesias con hiperestesias quemantes. crisis vertiginosas. Evolución: -Libre de recaídas, sin requerimientos de corticoides en los últimos meses.</w:t>
      </w:r>
    </w:p>
    <w:p>
      <w:r>
        <w:rPr>
          <w:b w:val="0"/>
        </w:rPr>
        <w:t>Datos semiológicos: elementos mínimos de bipiramidalismo + R. Hoffman bilateral + Romberg +.- EDSS: 1.0.-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cerebro: lesiones desmielinizantes periventriculares y yuxtacorticales, sin captación de Gd IV(-) en el control.</w:t>
      </w:r>
    </w:p>
    <w:p>
      <w:r>
        <w:rPr>
          <w:b w:val="0"/>
        </w:rPr>
        <w:t>-RMN de médula cervical/dorsal: lesión intramedular cervical C3-C4 con realce con Gd IV, compatible con desmielinización aguda.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-Baclofeno (Lioresal): 40-80 mg/día por vía oral, indicado para espasticidad/hipertonía. -Modafinilo: 100-200 mg/día por vía oral, indicado para fatiga.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