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18 de Mayo de 2020</w:t>
      </w:r>
    </w:p>
    <w:p/>
    <w:p>
      <w:r>
        <w:rPr>
          <w:b w:val="0"/>
        </w:rPr>
        <w:t>Apellido y nombre: Martínez, Carolina.    DNI: 15.792.773        Fecha de Nacimiento: 11/07/99</w:t>
      </w:r>
    </w:p>
    <w:p>
      <w:r>
        <w:rPr>
          <w:b w:val="0"/>
        </w:rPr>
        <w:t>Dirección: 44 Nº 1234. La Plata. Teléfono: (0221)  436-7561 / 15- 1615675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K43876400/00</w:t>
      </w:r>
    </w:p>
    <w:p>
      <w:r>
        <w:rPr>
          <w:b w:val="0"/>
        </w:rPr>
        <w:t>Asistida desde: 11/02/22</w:t>
      </w:r>
    </w:p>
    <w:p>
      <w:r>
        <w:rPr>
          <w:b w:val="0"/>
        </w:rPr>
        <w:t>Antecedente personales: -rosácea + -diabetes tipo 2 + -tabaquismo.-</w:t>
      </w:r>
    </w:p>
    <w:p>
      <w:r>
        <w:rPr>
          <w:b w:val="0"/>
        </w:rPr>
        <w:t>Antecedentes familiares: padre con HTA.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junio 2010: episodio sensitivo con parestesias/hipoestesia de distribución dorsal que duró meses y restituyó casi ad integrum -(2°) febrero 2014: recaída de similares características, agregando mínimo componente motor y/o equilibrio. neuritis óptica / disminución de visión central. crisis vertiginosas. constipación pertinaz. parestesias e hipoestesias. disestesias con hiperestesias quemantes. fatiga y termosensibilidad. Evolución: -Libre de recaídas, sin requerimientos de corticoides en los últimos meses.</w:t>
      </w:r>
    </w:p>
    <w:p>
      <w:r>
        <w:rPr>
          <w:b w:val="0"/>
        </w:rPr>
        <w:t>Datos semiológicos: R. Hoffman bilateral + hemihipoestesia con nivel sensitivo dorsal + elementos esfinterianos vésico-rectales + Romberg +.- EDSS: 4.5.-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lesiones desmielinizantes periventriculares y yuxtacorticales, sin captación de Gd IV(-) en el control.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